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هدايا العمّال-كتاب الأحكام-صحيح البخاري — رقم الحديث: 7174 — الرقم الفرعي: 99 — الرقم الأصلي: 7174</w:t>
        <w:br/>
      </w:r>
      <w:r>
        <w:rPr>
          <w:rtl w:val="1"/>
        </w:rPr>
        <w:t xml:space="preserve"> حدثنا علي بن عبد الله حدثنا سفيان عن الزهريّ أنه سمع عروة أخبرنا أبو حميد الساعديّ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استَعمَلَ النبيُّ ﷺ رجلًا مِن بني أسْدٍ يُقالُ له: ابنُ الأَتَبِيّةِ على صَدَقةٍ،  </w:t>
      </w:r>
      <w:r>
        <w:rPr>
          <w:color w:val="FF0000"/>
          <w:rtl w:val="1"/>
        </w:rPr>
        <w:t xml:space="preserve">فلما قَدِمَ قال: هذا لكم وهذا أُهْدِيَ لي،  </w:t>
      </w:r>
      <w:r>
        <w:rPr>
          <w:color w:val="FF0000"/>
          <w:rtl w:val="1"/>
        </w:rPr>
        <w:t xml:space="preserve">فقامَ النبيُّ ﷺ على المِنبرِ، فحَمِدَ الله وأثنَى عليه، ثمَّ قال:  </w:t>
      </w:r>
      <w:r>
        <w:rPr>
          <w:color w:val="FF0000"/>
          <w:rtl w:val="1"/>
        </w:rPr>
        <w:t xml:space="preserve">«ما بالُ العامِلِ نَبعَثُه فيأتي فيقولُ: هذا لكَ وهذا لي، فهَلّا جَلَسَ في بيتِ أبيه وأُمِّه فيَنظُرَ أيُهدَى له أم لا؟  </w:t>
      </w:r>
      <w:r>
        <w:rPr>
          <w:color w:val="FF0000"/>
          <w:rtl w:val="1"/>
        </w:rPr>
        <w:t xml:space="preserve">والذي نفسي بيَدِه، لا يأتي بشيءٍ إلا جاءَ به يومَ القيامةِ يَحمِلُه على رَقَبتِه، إنْ كان بَعِيرًا له رُغاءٌ، أو بقرةً لها خُوارٌ، أو شاةً تَيْعَرُ».  </w:t>
      </w:r>
      <w:r>
        <w:rPr>
          <w:color w:val="FF0000"/>
          <w:rtl w:val="1"/>
        </w:rPr>
        <w:t xml:space="preserve">ثمَّ رَفَعَ يَدَيه حتَّى رأينا عُفْرَتَي إبطَيه «ألا هل بَلَّغْت؟» ثلاثًا.  </w:t>
      </w:r>
      <w:r>
        <w:rPr>
          <w:color w:val="000000"/>
          <w:rtl w:val="1"/>
        </w:rPr>
        <w:t xml:space="preserve">قال سفيانُ: قَصَّه علينا الزُّهْريُّ.  </w:t>
      </w:r>
      <w:r>
        <w:rPr>
          <w:color w:val="000000"/>
          <w:rtl w:val="1"/>
        </w:rPr>
        <w:t xml:space="preserve">وَزادَ هشامٌ، عن أبيه، عن أبي حُمَيدٍ، قال: سَمِعَ أُذُنايَ وأبْصَرَتْه عَيني، وسَلُوا زيد بنَ ثابتٍ فإنَّه سَمِعَه مَعِي. ولم يَقُلِ الزُّهْريُّ: سَمِعَ أُذُنِي. </w:t>
      </w:r>
      <w:r>
        <w:rPr>
          <w:color w:val="000000"/>
          <w:rtl w:val="1"/>
        </w:rPr>
        <w:t xml:space="preserve">{خُوَارٌ} [الأعراف:148]: صوتٌ، والجُؤَارُ مِن {تَجْأَرُونَ} [النحل:53] كصَوْتِ البقرةِ.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معنى المحاسبة وأهميتها - المحاسبة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تعريف المدير المالي وأهميته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قبول القاضي للهدية والدعوة والرشوة - آداب القاضي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أسباب ورود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حدود الإشراف والمسؤولية</w:t>
      </w:r>
    </w:p>
    <w:p>
      <w:pPr>
        <w:bidi w:val="1"/>
        <w:jc w:val="start"/>
      </w:pPr>
      <w:r>
        <w:rPr>
          <w:rtl w:val="1"/>
        </w:rPr>
        <w:t>الشرح: الدلالة: المساءلة (المحاسبة)</w:t>
      </w:r>
    </w:p>
    <w:p>
      <w:pPr>
        <w:bidi w:val="1"/>
        <w:jc w:val="start"/>
      </w:pPr>
      <w:r>
        <w:rPr>
          <w:rtl w:val="1"/>
        </w:rPr>
        <w:t>الشرح: الدلالة: تحديد المسؤولية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حكم الهدية للقاضي أو الجابي (الرشوة) - الهبة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تحريم الرِّشوة والهدايا لرجال الحُكم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عاشرًا: قيمة تحريم الرِّشوة وهدايا الموظَّفين - تحريم مال الغير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