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النضح بعد الوضوء-كتاب الطهارة وسننها-سنن ابن ماجة — رقم الحديث: 464 — الرقم الفرعي: 99 — الرقم الأصلي: 464</w:t>
        <w:br/>
      </w:r>
      <w:r>
        <w:rPr>
          <w:rtl w:val="1"/>
        </w:rPr>
        <w:t xml:space="preserve"> حدثنا محمد بن يحيى ثنا عاصم بن عليّ ثنا قيس عن ابن أبي ليلى عن أبي الزّبير عن جابر</w:t>
        <w:br/>
      </w:r>
      <w:r>
        <w:rPr>
          <w:color w:val="FF0000"/>
          <w:rtl w:val="1"/>
        </w:rPr>
        <w:t xml:space="preserve">قال: تَوَضَّأَ رَسولُ اللَّهِ ﷺ فنَضَحَ فَرجَه.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بول الإنسان وغائطه - البول والغائط والروث</w:t>
      </w:r>
    </w:p>
    <w:p>
      <w:pPr>
        <w:bidi w:val="1"/>
        <w:jc w:val="start"/>
      </w:pPr>
      <w:r>
        <w:rPr>
          <w:rtl w:val="1"/>
        </w:rPr>
        <w:t>الشرح: الدلالة: الانتضاح بالماء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