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حكم المنيّ-كتاب الطهارة-صحيح مسلم — رقم الحديث: 289 — الرقم الفرعي: 1 — الرقم الأصلي: 289</w:t>
        <w:br/>
      </w:r>
      <w:r>
        <w:rPr>
          <w:rtl w:val="1"/>
        </w:rPr>
        <w:t xml:space="preserve"> حدثنا أبو بكر بن أبي شيبة حدثنا محمد بن بِشر عن عمرو بن ميمون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سألتُ سُلَيمانَ بنَ يَسار عن المَنيّ يُصيب ثَوبَ الرَّجل، أَيَغسلُه أَم يَغسل الثوبَ؟  </w:t>
      </w:r>
      <w:r>
        <w:rPr>
          <w:color w:val="FF0000"/>
          <w:rtl w:val="1"/>
        </w:rPr>
        <w:t xml:space="preserve">فقال: أَخبرَتني عائشةُ أنَّ رَسولَ الله ﷺ كانَ يَغسلُ المَنيَّ ثُمَّ يَخرجُ إلى الصلاةِ في ذلك الثَّوب، وأَنا أنظرُ إلى أَثَرِ الغَسل فِيه. </w:t>
      </w:r>
    </w:p>
    <w:p>
      <w:pPr>
        <w:bidi w:val="1"/>
        <w:jc w:val="start"/>
      </w:pPr>
      <w:r>
        <w:rPr>
          <w:rtl w:val="1"/>
        </w:rPr>
        <w:t>الشرح: الدلالة: نظافة اللباس - الحث على النظافة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