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تُحدّ المتوفّي عنها زوجها أربعة أشهرٍ وعشرا-كتاب الطلاق-صحيح البخاري — رقم الحديث: 5337 — الرقم الفرعي: 99 — الرقم الأصلي: 5337</w:t>
        <w:br/>
      </w:r>
      <w:r>
        <w:rPr>
          <w:rtl w:val="1"/>
        </w:rPr>
        <w:t xml:space="preserve"> موصول بالإسناد السابق.</w:t>
        <w:br/>
      </w:r>
      <w:r>
        <w:rPr>
          <w:color w:val="FF0000"/>
          <w:rtl w:val="1"/>
        </w:rPr>
        <w:t xml:space="preserve">قال حُمَيدٌ: فقلتُ لِزَينَبَ: وما تَرْمي بالبَعْرةِ على رأسِ الحَوْلِ؟  </w:t>
      </w:r>
      <w:r>
        <w:rPr>
          <w:color w:val="FF0000"/>
          <w:rtl w:val="1"/>
        </w:rPr>
        <w:t xml:space="preserve">فقالت زَينَبُ: كانتِ المرأةُ إذا تُوُفِّيَ عنها زوجُها دَخَلَتْ حِفْشًا، ولَبِسَتْ شَرَّ ثِيابها، ولم تَمَسَّ طِيبًا حتَّى تَمُرَّ بها سنةٌ،  </w:t>
      </w:r>
      <w:r>
        <w:rPr>
          <w:color w:val="FF0000"/>
          <w:rtl w:val="1"/>
        </w:rPr>
        <w:t xml:space="preserve">ثمَّ تُؤْتَى بدابّةٍ، حِمارٍ أو شاةٍ أو طائرٍ، فتَفْتَضُّ به، فقَلَّما تَفْتَضُّ بشيءٍ إلَّا ماتَ،  </w:t>
      </w:r>
      <w:r>
        <w:rPr>
          <w:color w:val="FF0000"/>
          <w:rtl w:val="1"/>
        </w:rPr>
        <w:t xml:space="preserve">ثمَّ تَخرُجُ فتُعْطَى بَعَرةً، فتَرْمي،  </w:t>
      </w:r>
      <w:r>
        <w:rPr>
          <w:color w:val="FF0000"/>
          <w:rtl w:val="1"/>
        </w:rPr>
        <w:t xml:space="preserve">ثمَّ تُراجِعُ بعدُ ما شاءَتْ من طِيبٍ أو غيرِه. </w:t>
      </w:r>
      <w:r>
        <w:rPr>
          <w:color w:val="FF0000"/>
          <w:rtl w:val="1"/>
        </w:rPr>
        <w:t xml:space="preserve">سُئِلَ مالكٌ: ما تَفْتَضُّ به؟ قال: تَمسَحُ به جِلْدَها. 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حياة العرب الاجتماعية(عاداتهم وأخلاقهم)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