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كسب البغيّ والإماء-كتاب في الاجارة-صحيح البخاري — رقم الحديث: 2283 — الرقم الفرعي: 99 — الرقم الأصلي: 2283</w:t>
        <w:br/>
      </w:r>
      <w:r>
        <w:rPr>
          <w:rtl w:val="1"/>
        </w:rPr>
        <w:t xml:space="preserve"> حدثنا مسلم بن إبراهيم حدثنا شعبة عن محمد بن جُحَادة عن أبي حازم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عن كَسْبِ الإماء. </w:t>
      </w:r>
    </w:p>
    <w:p>
      <w:pPr>
        <w:bidi w:val="1"/>
        <w:jc w:val="start"/>
      </w:pPr>
      <w:r>
        <w:rPr>
          <w:rtl w:val="1"/>
        </w:rPr>
        <w:t>الشرح: الدلالة: كون المنفعة في عقد الإجارة مباحة الاستيفاء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