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بعض ما لاقاه صلى الله عليه وسلم،في أول أمره-كتاب صفة القيامة-سنن الترمذي — رقم الحديث: 2473 — الرقم الفرعي: 99 — الرقم الأصلي: 2475</w:t>
        <w:br/>
      </w:r>
      <w:r>
        <w:rPr>
          <w:rtl w:val="1"/>
        </w:rPr>
        <w:t xml:space="preserve"> حدثنا هنّاد حدثنا يونس بن بُكير عن محمد بن إسحاق حدثنا يزيد بن زياد عن محمد بن كعب القُرظيّ حدثني من سمع عليّ بن أبي طالب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خرَجتُ في يومٍ شاتٍ من بيتِ رسولِ الله ﷺ، وقد أَخذتُ إهابًا مَعطونًا، فجوَّبتُ وَسَطَه فأَدخلتُه عُنُقي، وشدَدتُ وَسَطِي فحزَمْتُه بخُوصِ النَّخل، وإنِّي لشَديدُ الجُوع،  </w:t>
      </w:r>
      <w:r>
        <w:rPr>
          <w:color w:val="000000"/>
          <w:rtl w:val="1"/>
        </w:rPr>
        <w:t xml:space="preserve">ولو كانَ في بيتِ رَسولِ الله ﷺ طعامٌ لطَعِمتُ منه،  </w:t>
      </w:r>
      <w:r>
        <w:rPr>
          <w:color w:val="000000"/>
          <w:rtl w:val="1"/>
        </w:rPr>
        <w:t xml:space="preserve">فخرجتُ أَلتَمِسُ شيئًا،  </w:t>
      </w:r>
      <w:r>
        <w:rPr>
          <w:color w:val="FF0000"/>
          <w:rtl w:val="1"/>
        </w:rPr>
        <w:t xml:space="preserve">فمَررتُ بيَهوديٍّ في مالٍ له وهو يَسقِي ببَكْرةٍ له، فاطَّلعتُ عليه من ثُلْمةٍ في الحائط، فقال: ما لكَ يا أَعرابيّ؟ هل لكَ في دلوٍ بتَمرة؟ فقلتُ: نعم، فافتَح البابَ حتى أَدخُل، ففتَحَ فدَخلتُ،  </w:t>
      </w:r>
      <w:r>
        <w:rPr>
          <w:color w:val="FF0000"/>
          <w:rtl w:val="1"/>
        </w:rPr>
        <w:t xml:space="preserve">فأَعطاني دلوَه، فكلَّما نَزعتُ دلوًا أَعطاني تَمرةً،  </w:t>
      </w:r>
      <w:r>
        <w:rPr>
          <w:color w:val="000000"/>
          <w:rtl w:val="1"/>
        </w:rPr>
        <w:t xml:space="preserve">حتى إذا امتلأتْ كفِّي أَرسلتُ دلوَه وقلتُ حَسْبي،  </w:t>
      </w:r>
      <w:r>
        <w:rPr>
          <w:color w:val="000000"/>
          <w:rtl w:val="1"/>
        </w:rPr>
        <w:t xml:space="preserve">فأكَلْتُها، ثم جرَعتُ من الماء فشَربتُ، ثم جِئتُ المسجدَ فوَجدتُ رسولَ الله ﷺ فيه.  </w:t>
      </w:r>
      <w:r>
        <w:rPr>
          <w:color w:val="000000"/>
          <w:rtl w:val="1"/>
        </w:rPr>
        <w:t xml:space="preserve">هذا حديثٌ حسنٌ غريب.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إتقان العمل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اتقان العمل</w:t>
      </w:r>
    </w:p>
    <w:p>
      <w:pPr>
        <w:bidi w:val="1"/>
        <w:jc w:val="start"/>
      </w:pPr>
      <w:r>
        <w:rPr>
          <w:rtl w:val="1"/>
        </w:rPr>
        <w:t>الشرح: الدلالة: الأجير والعامل وفضل العمل - من أركان الإجارة العاقدان</w:t>
      </w:r>
    </w:p>
    <w:p>
      <w:pPr>
        <w:bidi w:val="1"/>
        <w:jc w:val="start"/>
      </w:pPr>
      <w:r>
        <w:rPr>
          <w:rtl w:val="1"/>
        </w:rPr>
        <w:t>الشرح: الدلالة: معلومية المنفعة في عقد الإجارة وبيان محلها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بيان العمل في عقد الإجارة - شروط صحة عقد الإجارة - شروط صحة عقد الإجارة</w:t>
      </w:r>
    </w:p>
    <w:p>
      <w:pPr>
        <w:bidi w:val="1"/>
        <w:jc w:val="start"/>
      </w:pPr>
      <w:r>
        <w:rPr>
          <w:rtl w:val="1"/>
        </w:rPr>
        <w:t>الشرح: الدلالة: معلومية الأجرة في عقد الإجارة - شروط صحة عقد الإجارة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