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 — الرقم الفرعي: 99 — الرقم الأصلي: 18 — ج: 1 — ص: 5</w:t>
        <w:br/>
      </w:r>
      <w:r>
        <w:rPr>
          <w:rtl w:val="1"/>
        </w:rPr>
        <w:t xml:space="preserve"> حدثنا عفّان قال:حدثنا أبو عَوانة عن داود بن عبد الله الأوديّ عن حميد بن عبد الرحمن</w:t>
        <w:br/>
      </w:r>
      <w:r>
        <w:rPr>
          <w:color w:val="000000"/>
          <w:rtl w:val="1"/>
        </w:rPr>
        <w:t xml:space="preserve">قال: </w:t>
      </w:r>
      <w:r>
        <w:rPr>
          <w:color w:val="000000"/>
          <w:rtl w:val="1"/>
        </w:rPr>
        <w:t xml:space="preserve">تُوفِّي رسولُ الله ﷺ، وأبو بكرٍ في طائفةٍ من المَدينة، قال: فجاءَ فكَشَفَ عن وَجهِه فقَبَّلَه،  </w:t>
      </w:r>
      <w:r>
        <w:rPr>
          <w:color w:val="FF0000"/>
          <w:rtl w:val="1"/>
        </w:rPr>
        <w:t xml:space="preserve">وقال: فِدىً لك أَبي وأُمي، ما أَطيبَكَ حيًّا وميتًا،  </w:t>
      </w:r>
      <w:r>
        <w:rPr>
          <w:color w:val="000000"/>
          <w:rtl w:val="1"/>
        </w:rPr>
        <w:t xml:space="preserve">ماتَ محمّدٌ ﷺ، ورَبِّ الكَعبة ... فذَكَر الحديث. </w:t>
      </w:r>
      <w:r>
        <w:rPr>
          <w:color w:val="000000"/>
          <w:rtl w:val="1"/>
        </w:rPr>
        <w:t xml:space="preserve">قال: فانطَلقَ أَبو بكرٍ وعمرُ يَتقاوَدَان حتّى أتَوهُم،  </w:t>
      </w:r>
      <w:r>
        <w:rPr>
          <w:color w:val="000000"/>
          <w:rtl w:val="1"/>
        </w:rPr>
        <w:t xml:space="preserve">فتكلَّم أَبو بكر، ولم يَتركْ شَيئًا أُنزِلَ في الأنصار ولا ذَكرَه رَسولُ الله ﷺ مِن شأنِهم، إلّا وذَكَره،  </w:t>
      </w:r>
      <w:r>
        <w:rPr>
          <w:color w:val="000000"/>
          <w:rtl w:val="1"/>
        </w:rPr>
        <w:t xml:space="preserve">وقال: ولقد علِمتُم أنَّ رسولَ الله ﷺ قال: «لو سَلَكَ النّاسُ واديًا، وسلَكَتِ الأَنصارُ واديًا، سلَكْتُ واديَ الأنصار».  </w:t>
      </w:r>
      <w:r>
        <w:rPr>
          <w:color w:val="000000"/>
          <w:rtl w:val="1"/>
        </w:rPr>
        <w:t xml:space="preserve">ولقد علِمتَ يا سعدُ أنَّ رسولَ الله ﷺ قالَ وأَنتَ قاعد: «قُريشٌ وُلاةُ هذا الأمر، فبَرُّ النّاس تَبَعٌ لبَرِّهم، وفاجِرُهم تَبَعٌ لفاجِرِهم».  </w:t>
      </w:r>
      <w:r>
        <w:rPr>
          <w:color w:val="000000"/>
          <w:rtl w:val="1"/>
        </w:rPr>
        <w:t xml:space="preserve">قال: فقال له سعد: صدَقتَ، نحنُ الوُزراءُ، وأَنتُم الأُمراء.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طيب في حياته وموته ﷺ - في حسنه وجماله واعتدال خلقته ﷺ</w:t>
      </w:r>
    </w:p>
    <w:p>
      <w:pPr>
        <w:bidi w:val="1"/>
        <w:jc w:val="start"/>
      </w:pPr>
      <w:r>
        <w:rPr>
          <w:rtl w:val="1"/>
        </w:rPr>
        <w:t xml:space="preserve">الشرح: الدلالة: تفديتهم إياه ﷺ بآبائم وأمهاتهم - محبة الصحابة له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