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تزوّج ولم يسم صداقاً حتى مات-كتاب النكاح-سنن أبي داود — رقم الحديث: 2116 — الرقم الفرعي: 99 — الرقم الأصلي: 2116</w:t>
        <w:br/>
      </w:r>
      <w:r>
        <w:rPr>
          <w:rtl w:val="1"/>
        </w:rPr>
        <w:t xml:space="preserve"> حدثنا عبيدالله بن عمر ثنا يزيد بن زريع ثنا سعيد بن أبي عروبة عن قتادة عن خلاس و أبي حسّان عن عبد الله بن عتبة بن مسعود</w:t>
        <w:br/>
      </w:r>
      <w:r>
        <w:rPr>
          <w:color w:val="FF0000"/>
          <w:rtl w:val="1"/>
        </w:rPr>
        <w:t xml:space="preserve">أن عبدَ الله بنَ مسعودٍ، رضي الله عنه، أُتِيَ في رَجُلٍ، بهذا الخبرِ(1)،  </w:t>
      </w:r>
      <w:r>
        <w:rPr>
          <w:color w:val="FF0000"/>
          <w:rtl w:val="1"/>
        </w:rPr>
        <w:t xml:space="preserve">قال: فاختَلَفوا إليه شَهرًا، أو قال: مرّاتٍ،  </w:t>
      </w:r>
      <w:r>
        <w:rPr>
          <w:color w:val="FF0000"/>
          <w:rtl w:val="1"/>
        </w:rPr>
        <w:t xml:space="preserve">قال: فإنِّي أقولُ فيها: إنَّ لها صَداقًا كصَداقِ نِسائِها، لا وَكْسَ ولا شَطَط، وإنَّ لها المِيراثَ، وعليها العِدّةَ،  </w:t>
      </w:r>
      <w:r>
        <w:rPr>
          <w:color w:val="FF0000"/>
          <w:rtl w:val="1"/>
        </w:rPr>
        <w:t xml:space="preserve">فإنْ يكُ صَوابًا فمِن اللهِ، وإن يكن خَطأً فمِنِّي ومِن الشّيطان، واللهُ ورَسولُه بَريئان.  </w:t>
      </w:r>
      <w:r>
        <w:rPr>
          <w:color w:val="000000"/>
          <w:rtl w:val="1"/>
        </w:rPr>
        <w:t xml:space="preserve">فقام ناسٌ مِن أَشْجعَ، فيهمُ الجَرَّاحُ وأبو سِنان، فقالوا: يا ابنَ مسعودٍ، نحنُ نَشهَدُ أنَّ رسولَ الله ﷺ قضاها فينا في بَرْوعَ بنتِ واشِقٍ، وإنَّ زوجَها هلالُ بنُ مُرَّة الأشجَعيُّ، كما قَضَيْتَ.  </w:t>
      </w:r>
      <w:r>
        <w:rPr>
          <w:color w:val="000000"/>
          <w:rtl w:val="1"/>
        </w:rPr>
        <w:t xml:space="preserve">قال: ففَرِحَ عبدُ الله بنُ مسعودٍ فرحًا شديدًا، حين وافَقَ قضاؤه قضاءَ رسولِ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قيمة الأمانة العلمية في الفتوى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انعقاد النكاح بدون مهر - المهر</w:t>
      </w:r>
    </w:p>
    <w:p>
      <w:pPr>
        <w:bidi w:val="1"/>
        <w:jc w:val="start"/>
      </w:pPr>
      <w:r>
        <w:rPr>
          <w:rtl w:val="1"/>
        </w:rPr>
        <w:t>الشرح: الدلالة: مهر المثل والمتعة - المهر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عدة غير المدخول بها - حساب العدة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أصحاب الربع - أصحاب الفروض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