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نوع آخر من الدعاء بين التكبير والقراءة-كتاب الافتتاح-سنن النسائي — رقم الحديث: 896 — الرقم الفرعي: 99 — الرقم الأصلي: 896</w:t>
        <w:br/>
      </w:r>
      <w:r>
        <w:rPr>
          <w:rtl w:val="1"/>
        </w:rPr>
        <w:t xml:space="preserve"> أخبرنا عمرو بن عثمان بن سعيد قال:حدثنا شريح بن يزيد الحضرميّ قال:أخبرني شعيب بن أبي حمزة قال:أخبرني محمد بن المنكدر عن جابر بن عبد الله</w:t>
        <w:br/>
      </w:r>
      <w:r>
        <w:rPr>
          <w:color w:val="FF0000"/>
          <w:rtl w:val="1"/>
        </w:rPr>
        <w:t xml:space="preserve">قال: كان النبيُّ ﷺ، إذا استَفتَحَ الصّلاةَ، كَبَّر،  </w:t>
      </w:r>
      <w:r>
        <w:rPr>
          <w:color w:val="FF0000"/>
          <w:rtl w:val="1"/>
        </w:rPr>
        <w:t xml:space="preserve">ثم قال: «إنّ صَلاتِي ونُسُكي ومَحيَايَ ومَمَاتِي للهِ ربِّ العالَمين، لا شَرِيكَ له، وبذلك أُمِرتُ، وأنا مِن المُسلِمين، اللّهمّ اهدِنِي لأَحسنِ الأَعمالِ، وأَحسَنِ الأَخلاقِ، لا يَهدِي لأَحسَنِها إلّا أَنتَ، وقِني سَيِّءَ الأَعمالِ، وسِيِّءَ الأَخلاق، لا يَقِي سِيِّئَها إلّا أنتَ». </w:t>
      </w:r>
    </w:p>
    <w:p>
      <w:pPr>
        <w:bidi w:val="1"/>
        <w:jc w:val="start"/>
      </w:pPr>
      <w:r>
        <w:rPr>
          <w:rtl w:val="1"/>
        </w:rPr>
        <w:t>درجة الحديث: معلول</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أدعية افتتاح الصلاة - افتتاح الصلاة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تكبيرة الإحرام - افتتاح الصلاة</w:t>
      </w:r>
    </w:p>
    <w:p>
      <w:pPr>
        <w:bidi w:val="1"/>
        <w:jc w:val="start"/>
      </w:pPr>
      <w:r>
        <w:rPr>
          <w:rtl w:val="1"/>
        </w:rPr>
        <w:t>الشرح: الدلالة: سؤال الهداية والسداد - فضل أدعية مخصوصة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