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تحريم نكاح المتعة-كتاب النكاح-سنن الترمذي — رقم الحديث: 1122 — الرقم الفرعي: 99 — الرقم الأصلي: 1122</w:t>
        <w:br/>
      </w:r>
      <w:r>
        <w:rPr>
          <w:rtl w:val="1"/>
        </w:rPr>
        <w:t xml:space="preserve"> حدثنا محمود بن غيلان حدثنا سفيان بن عقبة ملاحظة أخو قَبيصة بن عقبة حدثنا سفيان الثوريّ عن موسى بن عبيدة عن محمد بن كعب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إنَّما كانت المُتعةُ في أَوَّل الإسلام، كان الرَّجلُ يَقْدَمُ البلدةَ ليس له بها مَعرِفة، فيَتزوَّجُ المرأةَ بقَدْرِ ما يَرى أنّه يُقِيم، فتَحفظُ له مَتاعَه، وتُصلِحُ له شَيئَه،  </w:t>
      </w:r>
      <w:r>
        <w:rPr>
          <w:color w:val="FF0000"/>
          <w:rtl w:val="1"/>
        </w:rPr>
        <w:t xml:space="preserve">حتى إذا نزَلتِ الآية: ﴿إِلَّا عَلَى أَزْوَاجِهِمْ أَوْ مَا مَلَكَتْ أَيْمَانُهُمْ﴾ [المؤمنون: 6] قالَ ابنُ عبَّاسٍ: فكلُّ فرْجٍ سِواهُما فهو حَرَام.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نكاح المتعة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