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إذا قرأ الإمام فأنصتوا-كتاب إقامة الصلاة-سنن ابن ماجة — رقم الحديث: 846 — الرقم الفرعي: 99 — الرقم الأصلي: 846</w:t>
        <w:br/>
      </w:r>
      <w:r>
        <w:rPr>
          <w:rtl w:val="1"/>
        </w:rPr>
        <w:t xml:space="preserve"> حدثنا أبو بكر بن أبي شيبة ثنا ابوخالد الأحمر عن ابن عجلان عن زيد بن أسلم عن أبي صالح عن أبي هريرة قال:قال رسول الله صلى الله عليه وسلم</w:t>
        <w:br/>
      </w:r>
      <w:r>
        <w:rPr>
          <w:color w:val="000000"/>
          <w:rtl w:val="1"/>
        </w:rPr>
        <w:t xml:space="preserve">«إنّما جُعِلَ الإمامُ ليُؤتَمَّ به،  </w:t>
      </w:r>
      <w:r>
        <w:rPr>
          <w:color w:val="FF0000"/>
          <w:rtl w:val="1"/>
        </w:rPr>
        <w:t xml:space="preserve">فإذا كبّرَ فكبِّروا،  </w:t>
      </w:r>
      <w:r>
        <w:rPr>
          <w:color w:val="000000"/>
          <w:rtl w:val="1"/>
        </w:rPr>
        <w:t xml:space="preserve">وإذا قَرأَ فأَنصِتُوا،  </w:t>
      </w:r>
      <w:r>
        <w:rPr>
          <w:color w:val="FF0000"/>
          <w:rtl w:val="1"/>
        </w:rPr>
        <w:t xml:space="preserve">وإذا قال: ﴿غَيرِ المَغضُوبِ عَلَيهِم ولا الضَّالِّين﴾ فقولوا: آمِين،  </w:t>
      </w:r>
      <w:r>
        <w:rPr>
          <w:color w:val="000000"/>
          <w:rtl w:val="1"/>
        </w:rPr>
        <w:t xml:space="preserve">وإذا رَكَع فاركَعوا،  </w:t>
      </w:r>
      <w:r>
        <w:rPr>
          <w:color w:val="000000"/>
          <w:rtl w:val="1"/>
        </w:rPr>
        <w:t xml:space="preserve">وإذا قال: سَمِعَ اللهُ لمَن حمِدَه، فقولوا: اللَّهمَّ ربَّنا ولكَ الحَمد،  </w:t>
      </w:r>
      <w:r>
        <w:rPr>
          <w:color w:val="000000"/>
          <w:rtl w:val="1"/>
        </w:rPr>
        <w:t xml:space="preserve">وإذا سَجَدَ فاسجُدوا،  </w:t>
      </w:r>
      <w:r>
        <w:rPr>
          <w:color w:val="000000"/>
          <w:rtl w:val="1"/>
        </w:rPr>
        <w:t xml:space="preserve">وإذا صَلَّى جالسًا فصَلُّوا جلوسًا».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التأمين في الصلاة - متابعة الإمام</w:t>
      </w:r>
    </w:p>
    <w:p>
      <w:pPr>
        <w:bidi w:val="1"/>
        <w:jc w:val="start"/>
      </w:pPr>
      <w:r>
        <w:rPr>
          <w:rtl w:val="1"/>
        </w:rPr>
        <w:t>الشرح: الدلالة: قول (آمين) بعد الفراغ من قراءة الفاتحة - قراءة الفاتحة في الصلاة</w:t>
      </w:r>
    </w:p>
    <w:p>
      <w:pPr>
        <w:bidi w:val="1"/>
        <w:jc w:val="start"/>
      </w:pPr>
      <w:r>
        <w:rPr>
          <w:rtl w:val="1"/>
        </w:rPr>
        <w:t>الشرح: الدلالة: تكبيرة الإحرام - افتتاح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