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النساء-كتاب تفسير القرآن-سنن الترمذي — رقم الحديث: 3037 — الرقم الفرعي: 99 — الرقم الأصلي: 3040</w:t>
        <w:br/>
      </w:r>
      <w:r>
        <w:rPr>
          <w:rtl w:val="1"/>
        </w:rPr>
        <w:t xml:space="preserve"> حدثنا خلاّد بن أسلم البغداديّ حدثنا النضر بن شُميل عن إسرائيل عن ثُوَير ملاحظة وهو ابن أبي فاختة عن أبيه عن عليّ بن أبي طالب</w:t>
        <w:br/>
      </w:r>
      <w:r>
        <w:rPr>
          <w:color w:val="FF0000"/>
          <w:rtl w:val="1"/>
        </w:rPr>
        <w:t xml:space="preserve">قال: ‌ما ‌في ‌القُرآنِ ‌آيَةٌ ‌أحَبُّ إليَّ من هذه الآيَةِ: {إِنَّ اللَّهَ لَا يَغْفِرُ أَنْ يُشْرَكَ بِهِ وَيَغْفِرُ مَا دُونَ ذَلِكَ لِمَنْ يَشَاءُ} [النساء: 116]. </w:t>
      </w:r>
      <w:r>
        <w:rPr>
          <w:color w:val="000000"/>
          <w:rtl w:val="1"/>
        </w:rPr>
        <w:t xml:space="preserve">وهذا حديثٌ حسنٌ غريبٌ. </w:t>
      </w:r>
      <w:r>
        <w:rPr>
          <w:color w:val="000000"/>
          <w:rtl w:val="1"/>
        </w:rPr>
        <w:t xml:space="preserve">وأبو فاخِتَةَ اسمُه: سعيدُ بن عِلاقَةَ، وثُوَيْرٌ يُكْنى أبا جَهْمٍ، وهو رجلٌ كُوفِيٌّ، وقد سَمِعَ من ابنِ عمرَ وابن الزُّبَير، وابنُ مَهْديًّ كان يَغْمِزُهُ قليلًا.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ألفاظ الجرح والتعديل ومراتبهما -قواعد الجرح والتعديل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