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أن القبلة في الصوم ليست محرمة على من لم تحرك شهوته-كتاب الصيام-صحيح مسلم — رقم الحديث: 1107 — الرقم الفرعي: 1 — الرقم الأصلي: 1107</w:t>
        <w:br/>
      </w:r>
      <w:r>
        <w:rPr>
          <w:rtl w:val="1"/>
        </w:rPr>
        <w:t xml:space="preserve"> وحدثنا يحيى بن يحيى و أبو بكر بن أبي شيبة و أبو كُرَيب ملاحظة قال يحيى:أخبرنا،وقال الآخران: حدثنا أبو معاوية عن الأعمش عن مسلم عن شُتَير بن شَكَل عن حفصة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 رسولُ الله ﷺ يُقَبِّلُ وهو صائِم. </w:t>
      </w:r>
    </w:p>
    <w:p>
      <w:pPr>
        <w:bidi w:val="1"/>
        <w:jc w:val="start"/>
      </w:pPr>
      <w:r>
        <w:rPr>
          <w:rtl w:val="1"/>
        </w:rPr>
        <w:t>الشرح: الدلالة: السلام والمصافحة والمعانقة والتقبيل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