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306 — الرقم الفرعي: 99 — الرقم الأصلي: 306</w:t>
        <w:br/>
      </w:r>
      <w:r>
        <w:rPr>
          <w:rtl w:val="1"/>
        </w:rPr>
        <w:t xml:space="preserve"> حدثنا يزيد أخبرنا محمد بن إسحاق عن نافع عن ابن عمر عن عمر بن الخطاب</w:t>
        <w:br/>
      </w:r>
      <w:r>
        <w:rPr>
          <w:color w:val="000000"/>
          <w:rtl w:val="1"/>
        </w:rPr>
        <w:t xml:space="preserve">قَالَ: سَأَلتُ رَسُولَ اللهِ ﷺ، قُلْتُ: يَا رَسُولَ اللهِ، أَحَدُنَا إِذَا أرَادَ أَن يَنَامَ وَهُوَ جُنُبٌ، كَيْفَ يَصْنَعُ قَبْلَ أَنْ يَغْتَسِلَ؟ قَالَ: «يَتَوَضَّأُ وُضُوءَهُ لِلصَّلاةِ ثُمَّ يَنَامُ»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