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1790 — الرقم الفرعي: 99 — الرقم الأصلي: 1268 — ج: 2 — ص: 134</w:t>
        <w:br/>
      </w:r>
      <w:r>
        <w:rPr>
          <w:rtl w:val="1"/>
        </w:rPr>
        <w:t xml:space="preserve"> حدثني يحيى عن مالك عن عبدالله بن أبي بكر بن محمد بن عمرو بن حزم</w:t>
        <w:br/>
      </w:r>
      <w:r>
        <w:rPr>
          <w:color w:val="FF0000"/>
          <w:rtl w:val="1"/>
        </w:rPr>
        <w:t xml:space="preserve">أنَّ أبانَ بنَ عثمانَ، وهشامَ بنَ إسماعيلَ كانا يَذكُرانِ في خُطبتِهِما عُهدةَ الرَّقيقِ في الأَيامِ الثّلاثة، من حينِ يَشتري العبدَ أو الوليدةَ، وعُهدةَ السَّنة. </w:t>
      </w:r>
      <w:r>
        <w:rPr>
          <w:color w:val="FF0000"/>
          <w:rtl w:val="1"/>
        </w:rPr>
        <w:t xml:space="preserve">1791- قال مالك: ما أَصابَ العبدَ أو الوليدةَ في الأيام الثلاثةِ، من حينِ يَشتريانِ حتى تَنقضِي الأيامُ الثّلاثةُ فهو مِن البائع، وإنَّ عُهدةَ السَّنةِ مِن الجُنون، والجُذَام، والبَرَص، فإذا مَضَت السَّنة فقد بَرِئ البائعُ من العُهدةِ كلِّها. </w:t>
      </w:r>
      <w:r>
        <w:rPr>
          <w:color w:val="FF0000"/>
          <w:rtl w:val="1"/>
        </w:rPr>
        <w:t xml:space="preserve">1792- قال مالك: ومَن باع عبدًا أو وليدةً من أَهلِ المِيراث، أو غيرِهم بالبَراءة، فقد بَرِئ مِن كلِّ عيبٍ، ولا عُهدةَ عليه، إلّا أن يكونَ عَلِمَ عيبًا فكَتَمه، فإن كان عَلِمَ عيبًا فكَتَمه، لم تَنفَعْه البَراءة، وكان ذلك البَيعُ مَردودًا، ولا عُهدةَ عندَنا إلّا في الرَّقيق. </w:t>
      </w:r>
    </w:p>
    <w:p>
      <w:pPr>
        <w:bidi w:val="1"/>
        <w:jc w:val="start"/>
      </w:pPr>
      <w:r>
        <w:rPr>
          <w:rtl w:val="1"/>
        </w:rPr>
        <w:t>درجة الحديث: مقطوع</w:t>
      </w:r>
    </w:p>
    <w:p>
      <w:pPr>
        <w:bidi w:val="1"/>
        <w:jc w:val="start"/>
      </w:pPr>
      <w:r>
        <w:rPr>
          <w:rtl w:val="1"/>
        </w:rPr>
        <w:t>الشرح: الدلالة: الغبن - ما يؤدي إلى تضييق أو إيذاء أو ضرر مادي أو معنوي</w:t>
      </w:r>
    </w:p>
    <w:p>
      <w:pPr>
        <w:bidi w:val="1"/>
        <w:jc w:val="start"/>
      </w:pPr>
      <w:r>
        <w:rPr>
          <w:rtl w:val="1"/>
        </w:rPr>
        <w:t>الشرح: الدلالة: خيار العيب في البيع - الخيارات في عقد البيع</w:t>
      </w:r>
    </w:p>
    <w:p>
      <w:pPr>
        <w:bidi w:val="1"/>
        <w:jc w:val="start"/>
      </w:pPr>
      <w:r>
        <w:rPr>
          <w:rtl w:val="1"/>
        </w:rPr>
        <w:t>الشرح: الدلالة: الخيار بعد وجوب العقد - الخيارات في عقد البيع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