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الولاء-كتاب الفرائض-سنن أبي داود — رقم الحديث: 2917 — الرقم الفرعي: 99 — الرقم الأصلي: 2917</w:t>
        <w:br/>
      </w:r>
      <w:r>
        <w:rPr>
          <w:rtl w:val="1"/>
        </w:rPr>
        <w:t xml:space="preserve"> حدثنا عبد الله بن عمرو بن أبي الحجاج أبو معمر ثنا عبد الوارث عن حسين المعلم عن عمرو بن شعيب عن أبيه عن جده</w:t>
        <w:br/>
      </w:r>
      <w:r>
        <w:rPr>
          <w:color w:val="000000"/>
          <w:rtl w:val="1"/>
        </w:rPr>
        <w:t xml:space="preserve">أنَّ رِيَابَ بنَ حُذيفةَ تزوَّج امرأةً، فولَدَتْ له ثلاثةَ غِلْمةٍ،  </w:t>
      </w:r>
      <w:r>
        <w:rPr>
          <w:color w:val="FF0000"/>
          <w:rtl w:val="1"/>
        </w:rPr>
        <w:t xml:space="preserve">فماتت أمُّهم، فورِثُوها رِباعَها وولاءَ مَوالِيها،  </w:t>
      </w:r>
      <w:r>
        <w:rPr>
          <w:color w:val="000000"/>
          <w:rtl w:val="1"/>
        </w:rPr>
        <w:t xml:space="preserve">وكان عَمرُو بنُ العاصِ عَصَبةَ بَنِيها، فأَخرَجَهم إلى الشَّام، فماتُوا،  </w:t>
      </w:r>
      <w:r>
        <w:rPr>
          <w:color w:val="000000"/>
          <w:rtl w:val="1"/>
        </w:rPr>
        <w:t xml:space="preserve">فقَدِمَ عَمرو بنُ العاصِ، ومات مَولىً لها، وترَكَ مالًا،  </w:t>
      </w:r>
      <w:r>
        <w:rPr>
          <w:color w:val="000000"/>
          <w:rtl w:val="1"/>
        </w:rPr>
        <w:t xml:space="preserve">فخاصَمَه إخوتُها إلى عُمرَ بنِ الخطّاب،  </w:t>
      </w:r>
      <w:r>
        <w:rPr>
          <w:color w:val="FF0000"/>
          <w:rtl w:val="1"/>
        </w:rPr>
        <w:t xml:space="preserve">فقال عُمرُ: قالَ رسولُ الله ﷺ: «ما أَحرَزَ الولدُ، أو الوالدُ، فهو لعَصَبتِه مَنْ كان».  </w:t>
      </w:r>
      <w:r>
        <w:rPr>
          <w:color w:val="FF0000"/>
          <w:rtl w:val="1"/>
        </w:rPr>
        <w:t xml:space="preserve">قال: فكتبَ له كتابًا فيه شَهادةُ عبدِ الرَّحمنِ بنِ عَوف، وزيدِ بن ثابتٍ، ورجلٍ آخَرَ،  </w:t>
      </w:r>
      <w:r>
        <w:rPr>
          <w:color w:val="FF0000"/>
          <w:rtl w:val="1"/>
        </w:rPr>
        <w:t xml:space="preserve">فلمّا استُخلِفَ عبدُ الملك اختصَمُوا إلى هشامِ بنِ إسماعيلَ - أو إلى إسماعيلَ بن هشام - فرفَعَهم إلى عبدِ الملك، فقال: هذا مِن القضاءِ الذي ما كنتُ أُراه،  </w:t>
      </w:r>
      <w:r>
        <w:rPr>
          <w:color w:val="FF0000"/>
          <w:rtl w:val="1"/>
        </w:rPr>
        <w:t xml:space="preserve">قال: فقضَى لنا بكتابِ عُمر بنِ الخطّاب، فنحنُ فيه إلى الساعةِ.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ما بعد الخلفاء الراشدين - التاريخ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مشروعية التوثيق بالكتابة - الوثائق المكتوبة</w:t>
      </w:r>
    </w:p>
    <w:p>
      <w:pPr>
        <w:bidi w:val="1"/>
        <w:jc w:val="start"/>
      </w:pPr>
      <w:r>
        <w:rPr>
          <w:rtl w:val="1"/>
        </w:rPr>
        <w:t>الشرح: الدلالة: الوثيقة التي تتضمن شهادة أو إقراراً -الوثائق المكتوبة</w:t>
      </w:r>
    </w:p>
    <w:p>
      <w:pPr>
        <w:bidi w:val="1"/>
        <w:jc w:val="start"/>
      </w:pPr>
      <w:r>
        <w:rPr>
          <w:rtl w:val="1"/>
        </w:rPr>
        <w:t>الشرح: الدلالة: كتاب القاضي بمعلومات أي قاض ٍ آخر - الوثائق المكتوبة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العصبات - أقسام الورثة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