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يقول الرجل إذا دخل الخلاء-كتاب الطهارة وسننها-سنن ابن ماجة — رقم الحديث: 299 — الرقم الفرعي: 99 — الرقم الأصلي: 299</w:t>
        <w:br/>
      </w:r>
      <w:r>
        <w:rPr>
          <w:rtl w:val="1"/>
        </w:rPr>
        <w:t xml:space="preserve"> حدثنا محمد بن يحيى ثنا ابن أبي مريم ثنا يحيى بن أيوب عن عُبيدالله بن زَحْر عن عليّ بن يزيد عن القاسم عن أبي أمامة أنّ رسول الله صلى الله عليه وسلم</w:t>
        <w:br/>
      </w:r>
      <w:r>
        <w:rPr>
          <w:color w:val="FF0000"/>
          <w:rtl w:val="1"/>
        </w:rPr>
        <w:t xml:space="preserve">قال: «لا يَعجِزُ أحدُكم، إذا دخَلَ مِرفَقَه أن يقول:  </w:t>
      </w:r>
      <w:r>
        <w:rPr>
          <w:color w:val="FF0000"/>
          <w:rtl w:val="1"/>
        </w:rPr>
        <w:t xml:space="preserve">اللَّهمّ إنِّي أَعوذُ بكَ من الرِّجْسِ النَّجِس، الخَبيثِ المُخبِثِ: الشّيطانِ الرّجيم». </w:t>
      </w:r>
      <w:r>
        <w:rPr>
          <w:color w:val="000000"/>
          <w:rtl w:val="1"/>
        </w:rPr>
        <w:t xml:space="preserve">قال أبو الحَسن القَطّان: وحدَّثناه أبو حاتم، حدَّثنا ابنُ أبي مريم، فذَكر نحوه،  </w:t>
      </w:r>
      <w:r>
        <w:rPr>
          <w:color w:val="000000"/>
          <w:rtl w:val="1"/>
        </w:rPr>
        <w:t xml:space="preserve">ولم يقُلْ في حديثِه: «من الرِّجْس النَّجِس»،  </w:t>
      </w:r>
      <w:r>
        <w:rPr>
          <w:color w:val="000000"/>
          <w:rtl w:val="1"/>
        </w:rPr>
        <w:t xml:space="preserve">إنّما قال: «مِن الخَبِيثِ المُخبِثِ: الشَّيطانِ الرَّجيم». </w:t>
      </w:r>
    </w:p>
    <w:p>
      <w:pPr>
        <w:bidi w:val="1"/>
        <w:jc w:val="start"/>
      </w:pPr>
      <w:r>
        <w:rPr>
          <w:rtl w:val="1"/>
        </w:rPr>
        <w:t xml:space="preserve">درجة الحديث: إسناده ضعيف </w:t>
      </w:r>
    </w:p>
    <w:p>
      <w:pPr>
        <w:bidi w:val="1"/>
        <w:jc w:val="start"/>
      </w:pPr>
      <w:r>
        <w:rPr>
          <w:rtl w:val="1"/>
        </w:rPr>
        <w:t>الشرح: الدلالة: الموضوع</w:t>
      </w:r>
    </w:p>
    <w:p>
      <w:pPr>
        <w:bidi w:val="1"/>
        <w:jc w:val="start"/>
      </w:pPr>
      <w:r>
        <w:rPr>
          <w:rtl w:val="1"/>
        </w:rPr>
        <w:t>الشرح: الدلالة: الدعاء - آداب قضاء الحاجة</w:t>
      </w:r>
    </w:p>
    <w:p>
      <w:pPr>
        <w:bidi w:val="1"/>
        <w:jc w:val="start"/>
      </w:pPr>
      <w:r>
        <w:rPr>
          <w:rtl w:val="1"/>
        </w:rPr>
        <w:t>الشرح: الدلالة: القوي - الحسن</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ضعيف.، - أقسام الرواة جرحا وتعديلا</w:t>
      </w:r>
    </w:p>
    <w:p>
      <w:pPr>
        <w:bidi w:val="1"/>
        <w:jc w:val="start"/>
      </w:pPr>
      <w:r>
        <w:rPr>
          <w:rtl w:val="1"/>
        </w:rPr>
        <w:t>الشرح: الدلالة: الذكر والدعاء عند دخول الخلاء والخروج منه - الذكر والدعاء لازمنه معينه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