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كان بدء الوحي إلى رسول الله صلى الله عليه وسلم-كتاب بدء الوحي-صحيح البخاري — رقم الحديث: 1 — الرقم الفرعي: 99 — الرقم الأصلي: 1</w:t>
        <w:br/>
      </w:r>
      <w:r>
        <w:rPr>
          <w:rtl w:val="1"/>
        </w:rPr>
        <w:t xml:space="preserve"> حدثنا الحميديّ عبد الله بن الزبير قال:حدثنا سفيان قال:حدثنا يحيى بن سعيد الأنصاريّ قال:أخبرني محمد بن إبراهيم التيميّ أنه سمع علقمة بن وقاص الليثيّ يقول:سمعت عمر بن الخطاب رضي الله عنه ملاحظة على المنبر قال:سمعت رسول الله صلى الله عليه وسلم</w:t>
        <w:br/>
      </w:r>
      <w:r>
        <w:rPr>
          <w:color w:val="FF0000"/>
          <w:rtl w:val="1"/>
        </w:rPr>
        <w:t xml:space="preserve">«إنَّما الأعمالُ بالنِّيّاتِ،  </w:t>
      </w:r>
      <w:r>
        <w:rPr>
          <w:color w:val="FF0000"/>
          <w:rtl w:val="1"/>
        </w:rPr>
        <w:t xml:space="preserve">وإنَّما لكلِّ امرِئٍ ما نَوَى،  </w:t>
      </w:r>
      <w:r>
        <w:rPr>
          <w:color w:val="FF0000"/>
          <w:rtl w:val="1"/>
        </w:rPr>
        <w:t xml:space="preserve">فمَن كانت هِجْرتُه إلى دنيا يُصِيبُها، أو إلى امرأةٍ يَنكِحُها، فهِجْرتُه إلى ما هاجَرَ إليه» </w:t>
      </w:r>
    </w:p>
    <w:p>
      <w:pPr>
        <w:bidi w:val="1"/>
        <w:jc w:val="start"/>
      </w:pPr>
      <w:r>
        <w:rPr>
          <w:rtl w:val="1"/>
        </w:rPr>
        <w:t>الشرح: الدلالة: أقسام الحكم التكليفي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النية في اليمين - الأيمان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الأجر على النية الحسنة - الحسنات</w:t>
      </w:r>
    </w:p>
    <w:p>
      <w:pPr>
        <w:bidi w:val="1"/>
        <w:jc w:val="start"/>
      </w:pPr>
      <w:r>
        <w:rPr>
          <w:rtl w:val="1"/>
        </w:rPr>
        <w:t>الشرح: الدلالة: النية للصلاة - افتتاح الصلاة</w:t>
      </w:r>
    </w:p>
    <w:p>
      <w:pPr>
        <w:bidi w:val="1"/>
        <w:jc w:val="start"/>
      </w:pPr>
      <w:r>
        <w:rPr>
          <w:rtl w:val="1"/>
        </w:rPr>
        <w:t>الشرح: الدلالة: الإخلاص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النية للصيام - أركان الصيام</w:t>
      </w:r>
    </w:p>
    <w:p>
      <w:pPr>
        <w:bidi w:val="1"/>
        <w:jc w:val="start"/>
      </w:pPr>
      <w:r>
        <w:rPr>
          <w:rtl w:val="1"/>
        </w:rPr>
        <w:t>الشرح: الدلالة: دوافع الهجرة - الهجرة</w:t>
      </w:r>
    </w:p>
    <w:p>
      <w:pPr>
        <w:bidi w:val="1"/>
        <w:jc w:val="start"/>
      </w:pPr>
      <w:r>
        <w:rPr>
          <w:rtl w:val="1"/>
        </w:rPr>
        <w:t>الشرح: الدلالة: معنى الهجرة وحكمها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النية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النية - أعمال التيمم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تحديد الهدف من التخطيط</w:t>
      </w:r>
    </w:p>
    <w:p>
      <w:pPr>
        <w:bidi w:val="1"/>
        <w:jc w:val="start"/>
      </w:pPr>
      <w:r>
        <w:rPr>
          <w:rtl w:val="1"/>
        </w:rPr>
        <w:t>الشرح: الدلالة: النية - شروط صحة الطهارة</w:t>
      </w:r>
    </w:p>
    <w:p>
      <w:pPr>
        <w:bidi w:val="1"/>
        <w:jc w:val="start"/>
      </w:pPr>
      <w:r>
        <w:rPr>
          <w:rtl w:val="1"/>
        </w:rPr>
        <w:t>الشرح: الدلالة: النية - شروط صحة الزكاة</w:t>
      </w:r>
    </w:p>
    <w:p>
      <w:pPr>
        <w:bidi w:val="1"/>
        <w:jc w:val="start"/>
      </w:pPr>
      <w:r>
        <w:rPr>
          <w:rtl w:val="1"/>
        </w:rPr>
        <w:t>الشرح: الدلالة: قيمة الإخلاص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