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أُدّي زكاته فليس بكنز-كتاب الزكاة-صحيح البخاري — رقم الحديث: 1404 — الرقم الفرعي: 99 — الرقم الأصلي: 1404</w:t>
        <w:br/>
      </w:r>
      <w:r>
        <w:rPr>
          <w:rtl w:val="1"/>
        </w:rPr>
        <w:t xml:space="preserve"> وقال أحمد بن شبيب بن سعيد حدثنا أبي عن يونس عن ابن شهاب عن خالد بن أسلم</w:t>
        <w:br/>
      </w:r>
      <w:r>
        <w:rPr>
          <w:color w:val="FF0000"/>
          <w:rtl w:val="1"/>
        </w:rPr>
        <w:t xml:space="preserve">قال: خَرَجْنا معَ عبدِ الله بنِ عُمرَ، رضي الله عنهما،  </w:t>
      </w:r>
      <w:r>
        <w:rPr>
          <w:color w:val="FF0000"/>
          <w:rtl w:val="1"/>
        </w:rPr>
        <w:t xml:space="preserve">فقال أعرابيٌّ: أخبِرْني قولَ الله: ﴿وَالَّذِينَ يَكْنِزُونَ الذَّهَبَ وَالْفِضَّةَ وَلَا يُنْفِقُونَهَا فِي سَبِيلِ اللَّهِ﴾ [التوبة: 34]؟  </w:t>
      </w:r>
      <w:r>
        <w:rPr>
          <w:color w:val="FF0000"/>
          <w:rtl w:val="1"/>
        </w:rPr>
        <w:t xml:space="preserve">قال ابنُ عُمرَ، رضي الله عنهما: مَن كَنَزَها فلم يُؤَدِّ زَكاتَها فوَيلٌ له،  </w:t>
      </w:r>
      <w:r>
        <w:rPr>
          <w:color w:val="FF0000"/>
          <w:rtl w:val="1"/>
        </w:rPr>
        <w:t xml:space="preserve">إنَّما كان هذا قبلَ أنْ تُنزَلَ الزَّكاةُ،  </w:t>
      </w:r>
      <w:r>
        <w:rPr>
          <w:color w:val="FF0000"/>
          <w:rtl w:val="1"/>
        </w:rPr>
        <w:t xml:space="preserve">فلمّا أُنزِلَتْ جَعَلَها اللهُ طُهْرًا لِلأموال.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عقوبة مانع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