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4522 — الرقم الفرعي: 99 — الرقم الأصلي: 4522</w:t>
        <w:br/>
      </w:r>
      <w:r>
        <w:rPr>
          <w:rtl w:val="1"/>
        </w:rPr>
        <w:t xml:space="preserve"> حدثنا أبو مَعمَر حدثنا عبد الوارث عن عبد العزيز عن أنس</w:t>
        <w:br/>
      </w:r>
      <w:r>
        <w:rPr>
          <w:color w:val="FF0000"/>
          <w:rtl w:val="1"/>
        </w:rPr>
        <w:t xml:space="preserve">قال: كان النبيُّ ﷺ يقولُ: «اللهمَّ {رَبَّنَا آتِنَا فِي الدُّنْيَا حَسَنَةً وَفِي الْآخِرَةِ حَسَنَةً وَقِنَا عَذَابَ النَّارِ}».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ربنا آتنا في الدنيا حسنة - فضل أدعية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