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إذا خرج من الخلاء-كتاب الطهارة وسننها-سنن ابن ماجة — رقم الحديث: 88 — الرقم الفرعي: 99 — الرقم الأصلي: 88</w:t>
        <w:br/>
      </w:r>
      <w:r>
        <w:rPr>
          <w:rtl w:val="1"/>
        </w:rPr>
        <w:t xml:space="preserve"> حدثنا محمد بن عبد الله بن نُمير ثنا أسباط بن محمد ثنا الأعمش عن يزيد الرّقاشيّ عن غُنيم بن قيس عن أبي موسى الأشعريّ قال:قال رسول الله صلى الله عليه وسلم</w:t>
        <w:br/>
      </w:r>
      <w:r>
        <w:rPr>
          <w:color w:val="FF0000"/>
          <w:rtl w:val="1"/>
        </w:rPr>
        <w:t xml:space="preserve">«مَثَلُ القَلبِ مَثَلُ الرِّيشة، تُقلِّبها الرِّياحُ بفَلاةٍ».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المعاصي الباطنة(القلبية)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القلوب وتقلبها عند عرضها على الفتن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