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من صلّى في اليوم والليلة ثنتي عشرة ركعة،سوى المكتوبة-كتاب قيام الليل وتطوّع النهار-سنن النسائي — رقم الحديث: 1801 — الرقم الفرعي: 99 — الرقم الأصلي: 1801</w:t>
        <w:br/>
      </w:r>
      <w:r>
        <w:rPr>
          <w:rtl w:val="1"/>
        </w:rPr>
        <w:t xml:space="preserve"> أخبرنا الربيع بن سليمان قال:أنبأنا أبو الأسود قال:حدثني بكر بن مضر عن ابن عجلان عن أبي إسحاق الهمدانيّ عن عمرو بن أوس عن عنبسة بن أبي سفيان عن أمّ حبيبة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«اثنَتا عشْرةَ رَكعةً، مَن صَلّاهنَّ بَنَى اللهُ له بَيتًا في الجَنّة:  </w:t>
      </w:r>
      <w:r>
        <w:rPr>
          <w:color w:val="FF0000"/>
          <w:rtl w:val="1"/>
        </w:rPr>
        <w:t xml:space="preserve">أَربعَ رَكعاتٍ قَبلَ الظُّهر، ورَكعتَينِ بعدَ الظُّهر،  </w:t>
      </w:r>
      <w:r>
        <w:rPr>
          <w:color w:val="FF0000"/>
          <w:rtl w:val="1"/>
        </w:rPr>
        <w:t xml:space="preserve">ورَكعتَينِ قبلَ العَصر،  </w:t>
      </w:r>
      <w:r>
        <w:rPr>
          <w:color w:val="FF0000"/>
          <w:rtl w:val="1"/>
        </w:rPr>
        <w:t xml:space="preserve">ورَكعتَينِ بعدَ المَغرب،  </w:t>
      </w:r>
      <w:r>
        <w:rPr>
          <w:color w:val="FF0000"/>
          <w:rtl w:val="1"/>
        </w:rPr>
        <w:t xml:space="preserve">ورَكعتَينِ قبلَ صلاةِ الصُّبح».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أم حبيبة (رملة بنت أبي سفيان)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فضل السنن الراتبة والمحافظة عليها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فضل ركعتي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