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لزوم السنّة-كتاب السنّة-سنن أبي داود — رقم الحديث: 4612 — الرقم الفرعي: 99 — الرقم الأصلي: 4612</w:t>
        <w:br/>
      </w:r>
      <w:r>
        <w:rPr>
          <w:rtl w:val="1"/>
        </w:rPr>
        <w:t xml:space="preserve"> حدثنا محمد بن كثير قال:ثنا سفيان ملاحظة قال:كتب رجُل إلى عمر بن عبد العزيز يسأله عن القدر ح وثنا الربيع بن سليمان المؤذن قال:ثنا أسد بن موسى قال:ثنا حماد بن دُليل قال:سمعت سفيان الثوريّ يحدثنا عن النضر ح وثنا هناد بن السري عن قَبيصَة قال:ثنا أبو رجاء عن أبي الصلت ملاحظة وهذا لفظ حديث ابن كثير ومعناهم</w:t>
        <w:br/>
      </w:r>
      <w:r>
        <w:rPr>
          <w:color w:val="000000"/>
          <w:rtl w:val="1"/>
        </w:rPr>
        <w:t xml:space="preserve">قال:  </w:t>
      </w:r>
      <w:r>
        <w:rPr>
          <w:color w:val="FF0000"/>
          <w:rtl w:val="1"/>
        </w:rPr>
        <w:t xml:space="preserve">كَتَب رجلٌ إلى عُمَر بنِ عبدِ العزيز يَسالُه عن القَدَر،  </w:t>
      </w:r>
      <w:r>
        <w:rPr>
          <w:color w:val="FF0000"/>
          <w:rtl w:val="1"/>
        </w:rPr>
        <w:t xml:space="preserve">فكَتَب: أمّا بعدُ،  </w:t>
      </w:r>
      <w:r>
        <w:rPr>
          <w:color w:val="FF0000"/>
          <w:rtl w:val="1"/>
        </w:rPr>
        <w:t xml:space="preserve">أُوصِيكَ بتقوى الله،  </w:t>
      </w:r>
      <w:r>
        <w:rPr>
          <w:color w:val="FF0000"/>
          <w:rtl w:val="1"/>
        </w:rPr>
        <w:t xml:space="preserve">والاقتصادِ في أَمرِه،  </w:t>
      </w:r>
      <w:r>
        <w:rPr>
          <w:color w:val="FF0000"/>
          <w:rtl w:val="1"/>
        </w:rPr>
        <w:t xml:space="preserve">واتِّباعِ سُنَّةِ رسولِه ﷺ،  </w:t>
      </w:r>
      <w:r>
        <w:rPr>
          <w:color w:val="FF0000"/>
          <w:rtl w:val="1"/>
        </w:rPr>
        <w:t xml:space="preserve">وتركِ ما أحدَثَ المُحْدِثون بعدَ ما جَرَت به سُنَّتُه، وكفُوا مُؤْنتَه،  </w:t>
      </w:r>
      <w:r>
        <w:rPr>
          <w:color w:val="FF0000"/>
          <w:rtl w:val="1"/>
        </w:rPr>
        <w:t xml:space="preserve">فعليكَ بلُزومِ السُّنَّة، فإنَّها لكَ - بإذن الله - عِصْمة. </w:t>
      </w:r>
      <w:r>
        <w:rPr>
          <w:color w:val="FF0000"/>
          <w:rtl w:val="1"/>
        </w:rPr>
        <w:t xml:space="preserve">ثم اعلَمْ أنّه لم يَبتدِعِ الناسُ بدعةً إلّا قد مضى قبَلها ما هو دَليلٌ عليها أو عِبرةٌ فيها،  </w:t>
      </w:r>
      <w:r>
        <w:rPr>
          <w:color w:val="FF0000"/>
          <w:rtl w:val="1"/>
        </w:rPr>
        <w:t xml:space="preserve">فإنّ السُّنَّةَ إنّما سنَّها مَن قد عَلِم ما في خلافِه مِن الخطأ والزَّلَل والحُمقِ والتَعَمُّقِ،  </w:t>
      </w:r>
      <w:r>
        <w:rPr>
          <w:color w:val="FF0000"/>
          <w:rtl w:val="1"/>
        </w:rPr>
        <w:t xml:space="preserve">فارْضَ لنفسِكَ ما رَضي به القومُ لأنفُسِهم،  </w:t>
      </w:r>
      <w:r>
        <w:rPr>
          <w:color w:val="FF0000"/>
          <w:rtl w:val="1"/>
        </w:rPr>
        <w:t xml:space="preserve">فهم على عِلمٍ وَقَفُوا، وببَصَرٍ نافذٍ كُفُوا، وهم على كَشفِ الأُمورِ كانوا أَقوى، وبفضلِ ما كانوا فيه أَولى، فإن كان الهُدَى ما أَنتُم عليه لقد سَبقْتُموهم إليه،  </w:t>
      </w:r>
      <w:r>
        <w:rPr>
          <w:color w:val="FF0000"/>
          <w:rtl w:val="1"/>
        </w:rPr>
        <w:t xml:space="preserve">ولَئنْ قلتُم: إنَّما حدَثَ بعدَهم ما أحدَثَه إلَّا مَن اتَّبعَ غيرَ سَبيلِهم، ورَغِبَ بنَفسِه عنهم، فإنَّهم هم السَّابقون، فقد تكلَّموا فيه بما يَكفي، ووَصَفوا منه ما يَشفي، فما دُونَهم مِن مَقْصَرٍ، وما فَوقَهم مِن مَحْسَرٍ،  </w:t>
      </w:r>
      <w:r>
        <w:rPr>
          <w:color w:val="FF0000"/>
          <w:rtl w:val="1"/>
        </w:rPr>
        <w:t xml:space="preserve">وقد قَصَّرَ قومٌ دونَهم فجَفَوا، وطَمَحَ عنهم أقوام فغَلَوا، وإنّهم بين ذلك لعَلَى هدًى مستقيم.  </w:t>
      </w:r>
      <w:r>
        <w:rPr>
          <w:color w:val="FF0000"/>
          <w:rtl w:val="1"/>
        </w:rPr>
        <w:t xml:space="preserve">كتبتَ تسالُ عن الإقرارِ بالقَدَرِ،  </w:t>
      </w:r>
      <w:r>
        <w:rPr>
          <w:color w:val="FF0000"/>
          <w:rtl w:val="1"/>
        </w:rPr>
        <w:t xml:space="preserve">فعلى الخَبير - بإذن الله - وقَعْتَ،  </w:t>
      </w:r>
      <w:r>
        <w:rPr>
          <w:color w:val="FF0000"/>
          <w:rtl w:val="1"/>
        </w:rPr>
        <w:t xml:space="preserve">ما أعلَمُ ما أحدَثَ الناسُ من مُحْدَثةٍ، ولا ابتَدَعوا من بدعةٍ هي أبينُ أثرًا ولا أثبتُ أمرًا مِن الإقرارِ بالقَدَر،  </w:t>
      </w:r>
      <w:r>
        <w:rPr>
          <w:color w:val="FF0000"/>
          <w:rtl w:val="1"/>
        </w:rPr>
        <w:t xml:space="preserve">لقد كان ذَكَرَهُ في الجاهليةِ الجُهَلاء، يتكلَّمون به في كلامِهم وفي شِعرهم، يُعَزُّون به أنفُسَهم على ما فاتهم،  </w:t>
      </w:r>
      <w:r>
        <w:rPr>
          <w:color w:val="FF0000"/>
          <w:rtl w:val="1"/>
        </w:rPr>
        <w:t xml:space="preserve">ثم لم يَزِدْهُ الإسلامُ بعدُ إلا شِدَّةً،  </w:t>
      </w:r>
      <w:r>
        <w:rPr>
          <w:color w:val="FF0000"/>
          <w:rtl w:val="1"/>
        </w:rPr>
        <w:t xml:space="preserve">ولقد ذكرَهُ رسولُ الله ﷺ في غيرِ حديثٍ ولا حديثَين،  </w:t>
      </w:r>
      <w:r>
        <w:rPr>
          <w:color w:val="FF0000"/>
          <w:rtl w:val="1"/>
        </w:rPr>
        <w:t xml:space="preserve">وقد سَمعَهُ منه المسلمون، فتكلَّموا به في حياتِه وبعدَ وفاته، يقينًا وتَسليمًا لربِّهم، وتضعيفًا لأنفُسِهم، أن يكون شيءٌ لم يُحِطْ به علمُه، ولم يُحصِه كتابُه، ولم يمْضِ فيه قَدَرُه،  </w:t>
      </w:r>
      <w:r>
        <w:rPr>
          <w:color w:val="FF0000"/>
          <w:rtl w:val="1"/>
        </w:rPr>
        <w:t xml:space="preserve">وإنَّه لمعَ ذلك في مُحكَم كتابه؛ لَمِنه اقتَبسُوه، ومنه تَعلَّموه،  </w:t>
      </w:r>
      <w:r>
        <w:rPr>
          <w:color w:val="FF0000"/>
          <w:rtl w:val="1"/>
        </w:rPr>
        <w:t xml:space="preserve">ولئن قُلتم: لِمَ أنزلَ اللهُ آية كذا؟ ولِمَ قال كذا؟ لقد قَرؤوا منه ما قرأتم، وعَلِموا مِن تأويلِه ما جَهِلتُم،  </w:t>
      </w:r>
      <w:r>
        <w:rPr>
          <w:color w:val="FF0000"/>
          <w:rtl w:val="1"/>
        </w:rPr>
        <w:t xml:space="preserve">وقالوا بعد ذلك: كُلُّه بكتابٍ وقَدَرٍ، وكُتبتِ الشَّقاوةُ، وما يُقدَّرْ يكن، وما شاء اللهُ كان، وما لم يَشأ لم يكن، ولا نَملِكُ لأنفُسِنا ضَرًّا ولا نَفْعًا،  </w:t>
      </w:r>
      <w:r>
        <w:rPr>
          <w:color w:val="FF0000"/>
          <w:rtl w:val="1"/>
        </w:rPr>
        <w:t xml:space="preserve">ثم رَغِبوا بعد ذلك ورَهِبُوا. </w:t>
      </w:r>
    </w:p>
    <w:p>
      <w:pPr>
        <w:bidi w:val="1"/>
        <w:jc w:val="start"/>
      </w:pPr>
      <w:r>
        <w:rPr>
          <w:rtl w:val="1"/>
        </w:rPr>
        <w:t>درجة الحديث: صحيح / صحيح</w:t>
      </w:r>
    </w:p>
    <w:p>
      <w:pPr>
        <w:bidi w:val="1"/>
        <w:jc w:val="start"/>
      </w:pPr>
      <w:r>
        <w:rPr>
          <w:rtl w:val="1"/>
        </w:rPr>
        <w:t>الشرح: الدلالة: الرضى بالقضاء والقدر - الإيمان بالقدر</w:t>
      </w:r>
    </w:p>
    <w:p>
      <w:pPr>
        <w:bidi w:val="1"/>
        <w:jc w:val="start"/>
      </w:pPr>
      <w:r>
        <w:rPr>
          <w:rtl w:val="1"/>
        </w:rPr>
        <w:t>الشرح: الدلالة: أثر الايمان بالقضاء والقدر في حياة المسلم - الإيمان بالقدر</w:t>
      </w:r>
    </w:p>
    <w:p>
      <w:pPr>
        <w:bidi w:val="1"/>
        <w:jc w:val="start"/>
      </w:pPr>
      <w:r>
        <w:rPr>
          <w:rtl w:val="1"/>
        </w:rPr>
        <w:t>الشرح: الدلالة: الفِرَق</w:t>
      </w:r>
    </w:p>
    <w:p>
      <w:pPr>
        <w:bidi w:val="1"/>
        <w:jc w:val="start"/>
      </w:pPr>
      <w:r>
        <w:rPr>
          <w:rtl w:val="1"/>
        </w:rPr>
        <w:t>الشرح: الدلالة: العوائق الفكرية</w:t>
      </w:r>
    </w:p>
    <w:p>
      <w:pPr>
        <w:bidi w:val="1"/>
        <w:jc w:val="start"/>
      </w:pPr>
      <w:r>
        <w:rPr>
          <w:rtl w:val="1"/>
        </w:rPr>
        <w:t>الشرح: الدلالة: فضل السنة ومكانتها</w:t>
      </w:r>
    </w:p>
    <w:p>
      <w:pPr>
        <w:bidi w:val="1"/>
        <w:jc w:val="start"/>
      </w:pPr>
      <w:r>
        <w:rPr>
          <w:rtl w:val="1"/>
        </w:rPr>
        <w:t>الشرح: الدلالة: القدر والعمل - القدر وعلاقته بالأسباب</w:t>
      </w:r>
    </w:p>
    <w:p>
      <w:pPr>
        <w:bidi w:val="1"/>
        <w:jc w:val="start"/>
      </w:pPr>
      <w:r>
        <w:rPr>
          <w:rtl w:val="1"/>
        </w:rPr>
        <w:t>الشرح: الدلالة: قيمة الإيمان بالقَدَر - قيم الإيمان بالله وسائر أركان الإيمان</w:t>
      </w:r>
    </w:p>
    <w:p>
      <w:pPr>
        <w:bidi w:val="1"/>
        <w:jc w:val="start"/>
      </w:pPr>
      <w:r>
        <w:rPr>
          <w:rtl w:val="1"/>
        </w:rPr>
        <w:t>الشرح: الدلالة: النهي عن الخوض في القدر - الاحتجاج بالقدر والجدال فيه</w:t>
      </w:r>
    </w:p>
    <w:p>
      <w:pPr>
        <w:bidi w:val="1"/>
        <w:jc w:val="start"/>
      </w:pPr>
      <w:r>
        <w:rPr>
          <w:rtl w:val="1"/>
        </w:rPr>
        <w:t>الشرح: الدلالة: القدرية والزنادقة - الفِرَق</w:t>
      </w:r>
    </w:p>
    <w:p>
      <w:pPr>
        <w:bidi w:val="1"/>
        <w:jc w:val="start"/>
      </w:pPr>
      <w:r>
        <w:rPr>
          <w:rtl w:val="1"/>
        </w:rPr>
        <w:t>الشرح: الدلالة: التصور الإسلامي للالوهية - التصور الإسلامي</w:t>
      </w:r>
    </w:p>
    <w:p>
      <w:pPr>
        <w:bidi w:val="1"/>
        <w:jc w:val="start"/>
      </w:pPr>
      <w:r>
        <w:rPr>
          <w:rtl w:val="1"/>
        </w:rPr>
        <w:t>الشرح: الدلالة: التقوى والخشية من الله تعالى - القيم والأخلاق المحمودة</w:t>
      </w:r>
    </w:p>
    <w:p>
      <w:pPr>
        <w:bidi w:val="1"/>
        <w:jc w:val="start"/>
      </w:pPr>
      <w:r>
        <w:rPr>
          <w:rtl w:val="1"/>
        </w:rPr>
        <w:t>الشرح: الدلالة: النصيحة - القيم والأخلاق المحمودة</w:t>
      </w:r>
    </w:p>
    <w:p>
      <w:pPr>
        <w:bidi w:val="1"/>
        <w:jc w:val="start"/>
      </w:pPr>
      <w:r>
        <w:rPr>
          <w:rtl w:val="1"/>
        </w:rPr>
        <w:t>الشرح: الدلالة: البدعة - القيم والأخلاق المذمومة</w:t>
      </w:r>
    </w:p>
    <w:p>
      <w:pPr>
        <w:bidi w:val="1"/>
        <w:jc w:val="start"/>
      </w:pPr>
      <w:r>
        <w:rPr>
          <w:rtl w:val="1"/>
        </w:rPr>
        <w:t>الشرح: الدلالة: آداب النصيحة - الآداب الاجتماعية</w:t>
      </w:r>
    </w:p>
    <w:p>
      <w:pPr>
        <w:bidi w:val="1"/>
        <w:jc w:val="start"/>
      </w:pPr>
      <w:r>
        <w:rPr>
          <w:rtl w:val="1"/>
        </w:rPr>
        <w:t>الشرح: الدلالة: البدع والخرافات والموروثات الفكرية الباطلة</w:t>
      </w:r>
    </w:p>
    <w:p>
      <w:pPr>
        <w:bidi w:val="1"/>
        <w:jc w:val="start"/>
      </w:pPr>
      <w:r>
        <w:rPr>
          <w:rtl w:val="1"/>
        </w:rPr>
        <w:t>الشرح: الدلالة: الاعتصام بالسنة واتباعها - فضل السنة ومكانتها</w:t>
      </w:r>
    </w:p>
    <w:p>
      <w:pPr>
        <w:bidi w:val="1"/>
        <w:jc w:val="start"/>
      </w:pPr>
      <w:r>
        <w:rPr>
          <w:rtl w:val="1"/>
        </w:rPr>
        <w:t>الشرح: الدلالة: حِجاج الصحابة والتابعين في القدر - الاحتجاج بالقدر</w:t>
      </w:r>
    </w:p>
    <w:p>
      <w:pPr>
        <w:bidi w:val="1"/>
        <w:jc w:val="start"/>
      </w:pPr>
      <w:r>
        <w:rPr>
          <w:rtl w:val="1"/>
        </w:rPr>
        <w:t>الشرح: الدلالة: جدال المشركين وأهل البدع في القدر - الاحتجاج بالقدر</w:t>
      </w:r>
    </w:p>
    <w:p>
      <w:pPr>
        <w:bidi w:val="1"/>
        <w:jc w:val="start"/>
      </w:pPr>
      <w:r>
        <w:rPr>
          <w:rtl w:val="1"/>
        </w:rPr>
        <w:t>الشرح: الدلالة: الاعتصام بالكتاب والسنة (الثبات) - المباديء</w:t>
      </w:r>
    </w:p>
    <w:p>
      <w:pPr>
        <w:bidi w:val="1"/>
        <w:jc w:val="start"/>
      </w:pPr>
      <w:r>
        <w:rPr>
          <w:rtl w:val="1"/>
        </w:rPr>
        <w:t>الشرح: الدلالة: الرسائل والكتب الرسمية</w:t>
      </w:r>
    </w:p>
    <w:p>
      <w:pPr>
        <w:bidi w:val="1"/>
        <w:jc w:val="start"/>
      </w:pPr>
      <w:r>
        <w:rPr>
          <w:rtl w:val="1"/>
        </w:rPr>
        <w:t>الشرح: الدلالة: التقوى والضبط الذاتي - الضبط الاجتماعي</w:t>
      </w:r>
    </w:p>
    <w:p>
      <w:pPr>
        <w:bidi w:val="1"/>
        <w:jc w:val="start"/>
      </w:pPr>
      <w:r>
        <w:rPr>
          <w:rtl w:val="1"/>
        </w:rPr>
        <w:t>الشرح: الدلالة: الحاجة إلى العلم والمعرفة - حاجات المتعلمين</w:t>
      </w:r>
    </w:p>
    <w:p>
      <w:pPr>
        <w:bidi w:val="1"/>
        <w:jc w:val="start"/>
      </w:pPr>
      <w:r>
        <w:rPr>
          <w:rtl w:val="1"/>
        </w:rPr>
        <w:t>الشرح: الدلالة: توضيح المفهوم - الأساليب التعليمية</w:t>
      </w:r>
    </w:p>
    <w:p>
      <w:pPr>
        <w:bidi w:val="1"/>
        <w:jc w:val="start"/>
      </w:pPr>
      <w:r>
        <w:rPr>
          <w:rtl w:val="1"/>
        </w:rPr>
        <w:t>الشرح: الدلالة: الكتب الرسمية والرسائل - وسائل الحرب النفسية</w:t>
      </w:r>
    </w:p>
    <w:p>
      <w:pPr>
        <w:bidi w:val="1"/>
        <w:jc w:val="start"/>
      </w:pPr>
      <w:r>
        <w:rPr>
          <w:rtl w:val="1"/>
        </w:rPr>
        <w:t>الشرح: الدلالة: تقديم النصح والإرشاد</w:t>
      </w:r>
    </w:p>
    <w:p>
      <w:pPr>
        <w:bidi w:val="1"/>
        <w:jc w:val="start"/>
      </w:pPr>
      <w:r>
        <w:rPr>
          <w:rtl w:val="1"/>
        </w:rPr>
        <w:t>الشرح: الدلالة: الرقابة الذاتية ( التقوى )</w:t>
      </w:r>
    </w:p>
    <w:p>
      <w:pPr>
        <w:bidi w:val="1"/>
        <w:jc w:val="start"/>
      </w:pPr>
      <w:r>
        <w:rPr>
          <w:rtl w:val="1"/>
        </w:rPr>
        <w:t>الشرح: الدلالة: قيمة نصيحة الإمام لرعيته - مظاهر قيمة النصيحة للمسلمين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