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جواز التمتع-كتاب الحجّ-صحيح مسلم — رقم الحديث: 1226 — الرقم الفرعي: 5 — الرقم الأصلي: 1226</w:t>
        <w:br/>
      </w:r>
      <w:r>
        <w:rPr>
          <w:rtl w:val="1"/>
        </w:rPr>
        <w:t xml:space="preserve"> وحدثنا محمد بن المثنى و ابن بشار قال ابن المثنى حدثنا محمد بن جعفر عن شعبة عن قتادة عن مطرف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بَعَثَ إليَّ عِمرانُ بنُ حُصَين في مرَضِه الذي تُوفِّي فيه، فقال: إنِّي كنتُ مُحدِّثُك بأَحاديثَ، لعلَّ اللهَ أنْ يَنفَعكَ بها بَعدِي،  </w:t>
      </w:r>
      <w:r>
        <w:rPr>
          <w:color w:val="000000"/>
          <w:rtl w:val="1"/>
        </w:rPr>
        <w:t xml:space="preserve">فإنْ عِشتُ فاكتُمْ عنِّي، وإنْ مُتُّ فحدِّثْ بها إن شِئتَ:  </w:t>
      </w:r>
      <w:r>
        <w:rPr>
          <w:color w:val="000000"/>
          <w:rtl w:val="1"/>
        </w:rPr>
        <w:t xml:space="preserve">إنّه قد سُلِّمَ عليَّ.  </w:t>
      </w:r>
      <w:r>
        <w:rPr>
          <w:color w:val="000000"/>
          <w:rtl w:val="1"/>
        </w:rPr>
        <w:t xml:space="preserve">واعلَم أنَّ نبيَّ الله ﷺ قد جَمَعَ بين حجٍّ وعُمرة،  </w:t>
      </w:r>
      <w:r>
        <w:rPr>
          <w:color w:val="000000"/>
          <w:rtl w:val="1"/>
        </w:rPr>
        <w:t xml:space="preserve">ثُم لم يَنزِل فيها كتابُ الله، ولم يَنْهَ عنها نبيُّ الله ﷺ.  </w:t>
      </w:r>
      <w:r>
        <w:rPr>
          <w:color w:val="000000"/>
          <w:rtl w:val="1"/>
        </w:rPr>
        <w:t xml:space="preserve">قالَ رجلٌ فيها برَأيهِ ما شاء.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توريث العلم - قيم تقدير العِلم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