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عرق النبيّ صلى الله عليه وسلم،في البرد،وحين يأتيه الوحي-كتاب الفضائل-صحيح مسلم — رقم الحديث: 2334 — الرقم الفرعي: 99 — الرقم الأصلي: 2334</w:t>
        <w:br/>
      </w:r>
      <w:r>
        <w:rPr>
          <w:rtl w:val="1"/>
        </w:rPr>
        <w:t xml:space="preserve"> وحدثنا محمد بن المثنى حدثنا عبد الأعلى حدثنا سعيد عن قتادة عن الحسن عن حِطَّان بن عبد الله عن عبادة بن الصامت</w:t>
        <w:br/>
      </w:r>
      <w:r>
        <w:rPr>
          <w:color w:val="FF0000"/>
          <w:rtl w:val="1"/>
        </w:rPr>
        <w:t xml:space="preserve">قال: كان نبي الله ﷺ، إذا أُنْزِلَ عليه الوحيُ كُرِبَ لذلك وتَرَبَّد وجهُه.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آثار الوحي على النبي عليه السلام - آثار الوحي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