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الخطإ والنسيان في العتاقة والطلاق-كتاب العتق-صحيح البخاري — رقم الحديث: 2528 — الرقم الفرعي: 99 — الرقم الأصلي: 2528</w:t>
        <w:br/>
      </w:r>
      <w:r>
        <w:rPr>
          <w:rtl w:val="1"/>
        </w:rPr>
        <w:t xml:space="preserve"> حدثنا الحُميديّ حدثنا سفيان حدثنا مِسعر عن قتادة عن زرارة بن أوفى عن أبي هريرة رضي الله عنه قال:قال النبيّ صلى الله عليه وسلم</w:t>
        <w:br/>
      </w:r>
      <w:r>
        <w:rPr>
          <w:color w:val="FF0000"/>
          <w:rtl w:val="1"/>
        </w:rPr>
        <w:t xml:space="preserve">«إنَّ اللهَ تَجاوَزَ لي عن أُمَّتي ما وَسْوَسَتْ به صُدُورُها، ما لم تَعمَلْ أو تَكلَّمْ»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الوسوسة في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جهاد النفس (المجاهدة)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