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الحياء في العلم-كتاب العلم-صحيح البخاري — رقم الحديث: 130 — الرقم الفرعي: 99 — الرقم الأصلي: 130</w:t>
        <w:br/>
      </w:r>
      <w:r>
        <w:rPr>
          <w:rtl w:val="1"/>
        </w:rPr>
        <w:t xml:space="preserve"> حدثنا محمد بن سلام قال: أخبرنا أبو معاوية قال:حدثنا هشام عن أبيه عن زينب ابنة أمّ سلمة عن أمّ سلمة</w:t>
        <w:br/>
      </w:r>
      <w:r>
        <w:rPr>
          <w:color w:val="FF0000"/>
          <w:rtl w:val="1"/>
        </w:rPr>
        <w:t xml:space="preserve">قالت: جاءَتْ أمُّ سُلَيمٍ إلى رسولِ الله ﷺ،  </w:t>
      </w:r>
      <w:r>
        <w:rPr>
          <w:color w:val="FF0000"/>
          <w:rtl w:val="1"/>
        </w:rPr>
        <w:t xml:space="preserve">فقالت: يا رسولَ الله، إنَّ الله لا يَستَحيي منَ الحقِّ،  </w:t>
      </w:r>
      <w:r>
        <w:rPr>
          <w:color w:val="FF0000"/>
          <w:rtl w:val="1"/>
        </w:rPr>
        <w:t xml:space="preserve">فهل على المرأةِ مِن غُسْلٍ إذا احتَلَمَتْ؟  </w:t>
      </w:r>
      <w:r>
        <w:rPr>
          <w:color w:val="FF0000"/>
          <w:rtl w:val="1"/>
        </w:rPr>
        <w:t xml:space="preserve">قال النبيُّ ﷺ: «إذا رَأَتِ الماءَ»  </w:t>
      </w:r>
      <w:r>
        <w:rPr>
          <w:color w:val="FF0000"/>
          <w:rtl w:val="1"/>
        </w:rPr>
        <w:t xml:space="preserve">فغَطَّتْ أمُّ سَلَمةَ - تعني وجهَها - وقالت: يا رسولَ الله، وتَحتَلِمُ المرأةُ؟  </w:t>
      </w:r>
      <w:r>
        <w:rPr>
          <w:color w:val="FF0000"/>
          <w:rtl w:val="1"/>
        </w:rPr>
        <w:t xml:space="preserve">قال: «نَعَم، تَرِبَتْ يَمينُكِ، فبِمَ يُشبِهُها وَلَدُها؟». </w:t>
      </w:r>
    </w:p>
    <w:p>
      <w:pPr>
        <w:bidi w:val="1"/>
        <w:jc w:val="start"/>
      </w:pPr>
      <w:r>
        <w:rPr>
          <w:rtl w:val="1"/>
        </w:rPr>
        <w:t>الشرح: الدلالة: شبه الجنين بوالديه أو بأصوله - الجينات والهندسة الوراثية</w:t>
      </w:r>
    </w:p>
    <w:p>
      <w:pPr>
        <w:bidi w:val="1"/>
        <w:jc w:val="start"/>
      </w:pPr>
      <w:r>
        <w:rPr>
          <w:rtl w:val="1"/>
        </w:rPr>
        <w:t>الشرح: الدلالة: أسباب الجنابة (الجماع أو خروج المني) - الجنابة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النظافة والطهارة (يحال إلى العبادات والطهارة ) - الرعاية الجسمية</w:t>
      </w:r>
    </w:p>
    <w:p>
      <w:pPr>
        <w:bidi w:val="1"/>
        <w:jc w:val="start"/>
      </w:pPr>
      <w:r>
        <w:rPr>
          <w:rtl w:val="1"/>
        </w:rPr>
        <w:t>الشرح: الدلالة: قيمة الحياء في التعلُّم والتعليم - أولًا: قيمة الحياء</w:t>
      </w:r>
    </w:p>
    <w:p>
      <w:pPr>
        <w:bidi w:val="1"/>
        <w:jc w:val="start"/>
      </w:pPr>
      <w:r>
        <w:rPr>
          <w:rtl w:val="1"/>
        </w:rPr>
        <w:t>الشرح: الدلالة: أولاً: قيمة الغُسل - نظافة البدن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