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هل يؤذّن أو يقيم إذا جمع بين المغرب والعشاء-كتاب الصلاة-صحيح البخاري — رقم الحديث: 1110 — الرقم الفرعي: 99 — الرقم الأصلي: 1110</w:t>
        <w:br/>
      </w:r>
      <w:r>
        <w:rPr>
          <w:rtl w:val="1"/>
        </w:rPr>
        <w:t xml:space="preserve"> حدثنا إسحق حدثنا عبد الصمد حدثنا حرب حدثنا يحيى قال:حدثني حفص بن عبيد الله بن أنس</w:t>
        <w:br/>
      </w:r>
      <w:r>
        <w:rPr>
          <w:color w:val="000000"/>
          <w:rtl w:val="1"/>
        </w:rPr>
        <w:t xml:space="preserve">أنَّ أنسًا، رضي الله عنه، حَدَّثَه:  </w:t>
      </w:r>
      <w:r>
        <w:rPr>
          <w:color w:val="FF0000"/>
          <w:rtl w:val="1"/>
        </w:rPr>
        <w:t xml:space="preserve">أنَّ رسولَ الله ﷺ كان يَجمَعُ بينَ هاتَينِ الصّلاتَينِ في السَّفَرِ؛ يعني: المغربَ والعِشاءَ. </w:t>
      </w:r>
    </w:p>
    <w:p>
      <w:pPr>
        <w:bidi w:val="1"/>
        <w:jc w:val="start"/>
      </w:pPr>
      <w:r>
        <w:rPr>
          <w:rtl w:val="1"/>
        </w:rPr>
        <w:t>الشرح: الدلالة: الجمع بين الصلاتين في السفر - صلاة المسافر وقصر الصلاة</w:t>
      </w:r>
    </w:p>
    <w:p>
      <w:pPr>
        <w:bidi w:val="1"/>
        <w:jc w:val="start"/>
      </w:pPr>
      <w:r>
        <w:rPr>
          <w:rtl w:val="1"/>
        </w:rPr>
        <w:t>الشرح: الدلالة: الرخص للمسافر - الأخذ بالرخص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