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867 — الرقم الفرعي: 1 — الرقم الأصلي: 867</w:t>
        <w:br/>
      </w:r>
      <w:r>
        <w:rPr>
          <w:rtl w:val="1"/>
        </w:rPr>
        <w:t xml:space="preserve"> وحدثني محمد بن المثنى حدثنا عبد الوهاب بن عبد المجيد عن جعفر بن محمد عن أبيه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خَطَبَ احمَرَّتْ عيناهُ، وعَلا صَوتُه، واشتدَّ غضَبُه، حتى كأنَه مُنذِرُ جيشٍ، يقول: «صَبَّحَكم ومَسَّاكم»،  </w:t>
      </w:r>
      <w:r>
        <w:rPr>
          <w:color w:val="FF0000"/>
          <w:rtl w:val="1"/>
        </w:rPr>
        <w:t xml:space="preserve">ويقول: «بُعِثتُ أنا والسّاعةُ كهاتَين»، ويَقْرُنُ بين إصبَعَيه السَّبّابةِ والوُسطى،  </w:t>
      </w:r>
      <w:r>
        <w:rPr>
          <w:color w:val="FF0000"/>
          <w:rtl w:val="1"/>
        </w:rPr>
        <w:t xml:space="preserve">ويقول: «أمّا بعدُ، فإنَّ خيرَ الحديثِ كتابُ الله، وخيرُ الهُدَى هُدَى محمدٍ، وشرُّ الأمورِ مُحدَثاتُها، وكلُّ بدعةٍ ضَلالَة»،  </w:t>
      </w:r>
      <w:r>
        <w:rPr>
          <w:color w:val="FF0000"/>
          <w:rtl w:val="1"/>
        </w:rPr>
        <w:t xml:space="preserve">ثم يقول: «أنا أولَى بكلِّ مُؤمنٍ من نَفسِه، مَن تَرَكَ مالًا فلأهلِه، ومَن تَركَ دَينًا أو ضَياعًا فإلَيَّ وعَلَيّ».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من السنة أن يرفع الخطيب صوته في الخطبة - خطبة الجمعة 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وفاء الدولة عن مواطنيها - قيم الوفاء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قيام الدولة بقضاء حوائج الرعية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في الخطبة والموعظة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إشارته ﷺ بإصبعه عند الكلام والدعاء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