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ذم من مات ولم يغز،ولم يحدث نفسه بالغزو-كتاب الإمارة-صحيح مسلم — رقم الحديث: 1910 — الرقم الفرعي: 99 — الرقم الأصلي: 1910</w:t>
        <w:br/>
      </w:r>
      <w:r>
        <w:rPr>
          <w:rtl w:val="1"/>
        </w:rPr>
        <w:t xml:space="preserve"> حدثنا محمد بن عبد الرحمن بن سهم الأنطاكيّ أخبرنا عبد الله بن المبارك عن وُهَيْب المكّيّ عن عمر بن محمد بن المُنْكَدِر عن سُمَيّ عن أبي صالح عن أبي هريرة قال:قال رسول الله صلى الله عليه وسلم</w:t>
        <w:br/>
      </w:r>
      <w:r>
        <w:rPr>
          <w:color w:val="000000"/>
          <w:rtl w:val="1"/>
        </w:rPr>
        <w:t xml:space="preserve"> </w:t>
      </w:r>
      <w:r>
        <w:rPr>
          <w:color w:val="FF0000"/>
          <w:rtl w:val="1"/>
        </w:rPr>
        <w:t xml:space="preserve">«مَن ماتَ وَلَم يَغزُ، ولَم يُحدِّث به نَفسَه، ماتَ على شُعبَةٍ مِن نِفَاق»،  </w:t>
      </w:r>
      <w:r>
        <w:rPr>
          <w:color w:val="FF0000"/>
          <w:rtl w:val="1"/>
        </w:rPr>
        <w:t xml:space="preserve">قال ابنُ سَهم: قال عبدُ الله بنُ المُبارَك: فنَرَى أَنَّ ذٰلك كانَ على عَهدِ رَسُولِ الله ﷺ». </w:t>
      </w:r>
    </w:p>
    <w:p>
      <w:pPr>
        <w:bidi w:val="1"/>
        <w:jc w:val="start"/>
      </w:pPr>
      <w:r>
        <w:rPr>
          <w:rtl w:val="1"/>
        </w:rPr>
        <w:t>درجة الحديث: صحيح</w:t>
      </w:r>
    </w:p>
    <w:p>
      <w:pPr>
        <w:bidi w:val="1"/>
        <w:jc w:val="start"/>
      </w:pPr>
      <w:r>
        <w:rPr>
          <w:rtl w:val="1"/>
        </w:rPr>
        <w:t>الشرح: الدلالة: النفاق والمنافقون</w:t>
      </w:r>
    </w:p>
    <w:p>
      <w:pPr>
        <w:bidi w:val="1"/>
        <w:jc w:val="start"/>
      </w:pPr>
      <w:r>
        <w:rPr>
          <w:rtl w:val="1"/>
        </w:rPr>
        <w:t>الشرح: الدلالة: الجهاد - العلاقات الدولية (الدولة)</w:t>
      </w:r>
    </w:p>
    <w:p>
      <w:pPr>
        <w:bidi w:val="1"/>
        <w:jc w:val="start"/>
      </w:pPr>
      <w:r>
        <w:rPr>
          <w:rtl w:val="1"/>
        </w:rPr>
        <w:t>الشرح: الدلالة: فضل الجهاد والمجاهدين ودرجتهم - فضل الجهاد وثواب المجاهدين</w:t>
      </w:r>
    </w:p>
    <w:p>
      <w:pPr>
        <w:bidi w:val="1"/>
        <w:jc w:val="start"/>
      </w:pPr>
      <w:r>
        <w:rPr>
          <w:rtl w:val="1"/>
        </w:rPr>
        <w:t>الشرح: الدلالة: نية المجاهد في سبيل الله - فضل الجهاد وثواب المجاهدين</w:t>
      </w:r>
    </w:p>
    <w:p>
      <w:pPr>
        <w:bidi w:val="1"/>
        <w:jc w:val="start"/>
      </w:pPr>
      <w:r>
        <w:rPr>
          <w:rtl w:val="1"/>
        </w:rPr>
        <w:t>الشرح: الدلالة: منافق</w:t>
      </w:r>
    </w:p>
    <w:p>
      <w:pPr>
        <w:bidi w:val="1"/>
        <w:jc w:val="start"/>
      </w:pPr>
      <w:r>
        <w:rPr>
          <w:rtl w:val="1"/>
        </w:rPr>
        <w:t>الشرح: الدلالة: صفات المنافقين - النفاق</w:t>
      </w:r>
    </w:p>
    <w:p>
      <w:pPr>
        <w:bidi w:val="1"/>
        <w:jc w:val="start"/>
      </w:pPr>
      <w:r>
        <w:rPr>
          <w:rtl w:val="1"/>
        </w:rPr>
        <w:t>الشرح: الدلالة: التربية الجهادية - الأهداف</w:t>
      </w:r>
    </w:p>
    <w:p>
      <w:pPr>
        <w:bidi w:val="1"/>
        <w:jc w:val="start"/>
      </w:pPr>
      <w:r>
        <w:rPr>
          <w:rtl w:val="1"/>
        </w:rPr>
        <w:t>الشرح: الدلالة: ترك الجهاد والأمر بالمعروف والنهي عن المنكر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