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11565 — الرقم الفرعي: 99 — الرقم الأصلي: 11565 — ج: 3 — ص: 59</w:t>
        <w:br/>
      </w:r>
      <w:r>
        <w:rPr>
          <w:rtl w:val="1"/>
        </w:rPr>
        <w:t xml:space="preserve"> حدثنا عبد الله حدثني أبي ثنا أبو كامل ثنا حَمّاد عن حَمّاد عن إبراهيم عن أبي سعيد الخدريّ أنّ النبي،صلى الله عليه وسلم</w:t>
        <w:br/>
      </w:r>
      <w:r>
        <w:rPr>
          <w:color w:val="FF0000"/>
          <w:rtl w:val="1"/>
        </w:rPr>
        <w:t xml:space="preserve">نَهى عن استِئجارِ الأَجيرِ حتى يُبيِّنَ له أَجرَه،  </w:t>
      </w:r>
      <w:r>
        <w:rPr>
          <w:color w:val="FF0000"/>
          <w:rtl w:val="1"/>
        </w:rPr>
        <w:t xml:space="preserve">وعن النّجْشِ واللَّمْسِ وإلقاءِ الحَجَر.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معلومًا لكل من العاقدين - المبيع</w:t>
      </w:r>
    </w:p>
    <w:p>
      <w:pPr>
        <w:bidi w:val="1"/>
        <w:jc w:val="start"/>
      </w:pPr>
      <w:r>
        <w:rPr>
          <w:rtl w:val="1"/>
        </w:rPr>
        <w:t>الشرح: الدلالة: بيع الحصاة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الملامسة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المنابذة - أسباب النهي المتعلقة بالغرر</w:t>
      </w:r>
    </w:p>
    <w:p>
      <w:pPr>
        <w:bidi w:val="1"/>
        <w:jc w:val="start"/>
      </w:pPr>
      <w:r>
        <w:rPr>
          <w:rtl w:val="1"/>
        </w:rPr>
        <w:t xml:space="preserve">الشرح: الدلالة: من أركان الإجارة الأجرة - الإجارة </w:t>
      </w:r>
    </w:p>
    <w:p>
      <w:pPr>
        <w:bidi w:val="1"/>
        <w:jc w:val="start"/>
      </w:pPr>
      <w:r>
        <w:rPr>
          <w:rtl w:val="1"/>
        </w:rPr>
        <w:t>الشرح: الدلالة: معلومية الأجرة في عقد الإجارة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