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9385 — الرقم الفرعي: 99 — الرقم الأصلي: 9385 — ج: 2 — ص: 416</w:t>
        <w:br/>
      </w:r>
      <w:r>
        <w:rPr>
          <w:rtl w:val="1"/>
        </w:rPr>
        <w:t xml:space="preserve"> حدثنا عفّان و بهز قالا:ثنا أبو عوانة عن يعلى بن عطاء عن أبي علقمة الأنصاريّ قال:حدثني أبو هريرة ملاحظة من فيه إلى فيّ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«مَن أَطاعَني فقد أَطاعَ الله، ومَن عصاني فقد عصَى الله،  </w:t>
      </w:r>
      <w:r>
        <w:rPr>
          <w:color w:val="000000"/>
          <w:rtl w:val="1"/>
        </w:rPr>
        <w:t xml:space="preserve">ومَن أَطاعَ الأَميرَ فقد أَطاعَني،  </w:t>
      </w:r>
      <w:r>
        <w:rPr>
          <w:color w:val="000000"/>
          <w:rtl w:val="1"/>
        </w:rPr>
        <w:t xml:space="preserve">إنَّما الأميرُ مِجَنٌّ، فإن صلَّى جالسًا فصلُّوا جُلوسًا أو قعودًا،  </w:t>
      </w:r>
      <w:r>
        <w:rPr>
          <w:color w:val="000000"/>
          <w:rtl w:val="1"/>
        </w:rPr>
        <w:t xml:space="preserve">فإذا قال سمِعَ اللهُ لِمَن حمِدَه، فقولوا: اللَّهم ربَّنا ولك الحمد، فإنَّه إذا وافَقَ قولُ أَهلِ الأَرض قولَ أَهلِ السَّماء، غُفِرَ له ما مضَى مِن ذَنبِه».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