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قال:تغتسل بين الأيام-كتاب الطهارة-سنن أبي داود — رقم الحديث: 303 — الرقم الفرعي: 99 — الرقم الأصلي: 303</w:t>
        <w:br/>
      </w:r>
      <w:r>
        <w:rPr>
          <w:rtl w:val="1"/>
        </w:rPr>
        <w:t xml:space="preserve"> حدثنا القعنبيّ ثنا عبد العزيز ملاحظة يعني ابن محمد عن محمد بن عثمان</w:t>
        <w:br/>
      </w:r>
      <w:r>
        <w:rPr>
          <w:color w:val="FF0000"/>
          <w:rtl w:val="1"/>
        </w:rPr>
        <w:t xml:space="preserve">أنه سألَ القاسمَ بنَ محمّد عن المُستَحاضَةِ،  </w:t>
      </w:r>
      <w:r>
        <w:rPr>
          <w:color w:val="FF0000"/>
          <w:rtl w:val="1"/>
        </w:rPr>
        <w:t xml:space="preserve">قال: تَدَعُ الصَّلاةَ أيامَ أقرائِها،  </w:t>
      </w:r>
      <w:r>
        <w:rPr>
          <w:color w:val="FF0000"/>
          <w:rtl w:val="1"/>
        </w:rPr>
        <w:t xml:space="preserve">ثمَّ تَغتَسِلُ فتُصَلِّي،  </w:t>
      </w:r>
      <w:r>
        <w:rPr>
          <w:color w:val="FF0000"/>
          <w:rtl w:val="1"/>
        </w:rPr>
        <w:t xml:space="preserve">ثمَّ تَغتَسِلُ في الأيام.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طهارة المستحاضة - أحكام الاستحاضة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الصلاة والطواف - ما ينهى عنه في الحيض</w:t>
      </w:r>
    </w:p>
    <w:p>
      <w:pPr>
        <w:bidi w:val="1"/>
        <w:jc w:val="start"/>
      </w:pPr>
      <w:r>
        <w:rPr>
          <w:rtl w:val="1"/>
        </w:rPr>
        <w:t>الشرح: الدلالة: أسماء الحيض ( قُرء ، نفاس ..) - الحيض</w:t>
      </w:r>
    </w:p>
    <w:p>
      <w:pPr>
        <w:bidi w:val="1"/>
        <w:jc w:val="start"/>
      </w:pPr>
      <w:r>
        <w:rPr>
          <w:rtl w:val="1"/>
        </w:rPr>
        <w:t>الشرح: الدلالة: عبادات المستحاضة - أحكام الاستحاضة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