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ذكر في المسجد أنه جنبٌ يخرج كما هو،ولا يتيمّم-كتاب الوضوء-صحيح البخاري — رقم الحديث: 275 — الرقم الفرعي: 99 — الرقم الأصلي: 275</w:t>
        <w:br/>
      </w:r>
      <w:r>
        <w:rPr>
          <w:rtl w:val="1"/>
        </w:rPr>
        <w:t xml:space="preserve"> حدثنا عبد الله بن محمد قال:حدثنا عثمان بن عمر قال: أخبرنا يونس عن الزُّهريّ عن أبي سلمة عن أبي هريرة</w:t>
        <w:br/>
      </w:r>
      <w:r>
        <w:rPr>
          <w:color w:val="FF0000"/>
          <w:rtl w:val="1"/>
        </w:rPr>
        <w:t xml:space="preserve">قال: أُقِيمَتِ الصلاةُ وعُدِّلَتِ الصُّفُوفُ قِياماً،  </w:t>
      </w:r>
      <w:r>
        <w:rPr>
          <w:color w:val="FF0000"/>
          <w:rtl w:val="1"/>
        </w:rPr>
        <w:t xml:space="preserve">فخَرَجَ إلينا رسولُ الله ﷺ،  </w:t>
      </w:r>
      <w:r>
        <w:rPr>
          <w:color w:val="FF0000"/>
          <w:rtl w:val="1"/>
        </w:rPr>
        <w:t xml:space="preserve">فلمّا قامَ في مُصلَّاهُ ذَكَرَ أنَّه جُنُبٌ،  </w:t>
      </w:r>
      <w:r>
        <w:rPr>
          <w:color w:val="FF0000"/>
          <w:rtl w:val="1"/>
        </w:rPr>
        <w:t xml:space="preserve">فقال لنا: «مَكانَكُم»،  </w:t>
      </w:r>
      <w:r>
        <w:rPr>
          <w:color w:val="FF0000"/>
          <w:rtl w:val="1"/>
        </w:rPr>
        <w:t xml:space="preserve">ثمَّ رَجَعَ فاغتَسَلَ،  </w:t>
      </w:r>
      <w:r>
        <w:rPr>
          <w:color w:val="FF0000"/>
          <w:rtl w:val="1"/>
        </w:rPr>
        <w:t xml:space="preserve">ثمَّ خَرَجَ إلينا ورأسُه يَقطُرُ، فكَبَّرَ فصَلَّينا معه. 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تأخير مباشرة الصلاة بعد الإقامة - إقامة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