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 فإذا قُضيتِ الصلاة-كتاب البيوع-صحيح البخاري — رقم الحديث: 2047 — الرقم الفرعي: 99 — الرقم الأصلي: 2047</w:t>
        <w:br/>
      </w:r>
      <w:r>
        <w:rPr>
          <w:rtl w:val="1"/>
        </w:rPr>
        <w:t xml:space="preserve"> حدثنا أبو اليمان حدثنا شعيب عن الزهريّ قال:أخبرني سعيد بن المسيّب و أبو سلمة بن عبد الرحمن أنّ أبا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إنَّكم تقولونَ: إنَّ أبا هُرَيرةَ يُكثِرُ الحديثَ عن رسولِ الله ﷺ،  </w:t>
      </w:r>
      <w:r>
        <w:rPr>
          <w:color w:val="000000"/>
          <w:rtl w:val="1"/>
        </w:rPr>
        <w:t xml:space="preserve">وتقولونَ: ما بالُ المهاجِرِينَ والأنصارِ لا يُحدِّثونَ عن رسولِ الله ﷺ بمِثلِ حديثِ أبي هُرَيرةَ؟  </w:t>
      </w:r>
      <w:r>
        <w:rPr>
          <w:color w:val="000000"/>
          <w:rtl w:val="1"/>
        </w:rPr>
        <w:t xml:space="preserve">وإنَّ إخْوَتي مِن المهاجِرِينَ كانَ يَشْغَلُهم صَفْقٌ بالأسواقِ،  </w:t>
      </w:r>
      <w:r>
        <w:rPr>
          <w:color w:val="000000"/>
          <w:rtl w:val="1"/>
        </w:rPr>
        <w:t xml:space="preserve">وكنتُ ألْزَمُ رسولَ الله ﷺ على مِلْءِ بَطْني،  </w:t>
      </w:r>
      <w:r>
        <w:rPr>
          <w:color w:val="000000"/>
          <w:rtl w:val="1"/>
        </w:rPr>
        <w:t xml:space="preserve">فأشْهَدُ إذا غابُوا وأحفَظُ إذا نَسُوا،  </w:t>
      </w:r>
      <w:r>
        <w:rPr>
          <w:color w:val="000000"/>
          <w:rtl w:val="1"/>
        </w:rPr>
        <w:t xml:space="preserve">وكان يَشْغَلُ إخْوَتي مِن الأنصار عَمَلُ أموالهم،  </w:t>
      </w:r>
      <w:r>
        <w:rPr>
          <w:color w:val="000000"/>
          <w:rtl w:val="1"/>
        </w:rPr>
        <w:t xml:space="preserve">وكنتُ امرَأً مِسْكِينًا من مَساكِينِ الصُّفّةِ أعي حينَ يَنسَوْنَ،  </w:t>
      </w:r>
      <w:r>
        <w:rPr>
          <w:color w:val="FF0000"/>
          <w:rtl w:val="1"/>
        </w:rPr>
        <w:t xml:space="preserve">وقد قال رسولُ الله ﷺ في حديثٍ يُحدِّثُه: «إنَّه لن يَبسُطَ أحدٌ ثوبَه حتَّى أقضِيَ مَقالتي هذه ثمَّ يَجمَعَ إليه ثوبَه إلَّا وَعَى ما أقولُ»  </w:t>
      </w:r>
      <w:r>
        <w:rPr>
          <w:color w:val="FF0000"/>
          <w:rtl w:val="1"/>
        </w:rPr>
        <w:t xml:space="preserve">فبَسَطْتُ نَمِرةً عليَّ، حتَّى إذا قَضَى رسولُ الله ﷺ مَقالتَه جَمَعْتُها إلى صَدْري، فما نَسِيتُ من مَقالةِ رسولِ الله ﷺ تلكَ من شيء. 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