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النافلة قائماً وقاعداً ،وفعل بعض الركعة قائماً *-كتاب صلاة المسافرين وقصرها-صحيح مسلم — رقم الحديث: 730 — الرقم الفرعي: 1 — الرقم الأصلي: 730</w:t>
        <w:br/>
      </w:r>
      <w:r>
        <w:rPr>
          <w:rtl w:val="1"/>
        </w:rPr>
        <w:t xml:space="preserve"> حدثنا يحيى بن يحيى أخبرنا هُشيم عن خالد عن عبد الله بن شَقيق</w:t>
        <w:br/>
      </w:r>
      <w:r>
        <w:rPr>
          <w:color w:val="FF0000"/>
          <w:rtl w:val="1"/>
        </w:rPr>
        <w:t xml:space="preserve">قال: سألتُ عائشةَ عن صلاةِ رَسولِ الله ﷺ، عن تَطَوُّعِه؟ فقالت: كان يُصلِّي في بَيتِي قَبلَ الظهرِ أَربعاً، ثمَّ يَخرُجُ فيُصلِّي بالناس، ثمَّ يدخلُ فيُصلِّي رَكعَتَين،  </w:t>
      </w:r>
      <w:r>
        <w:rPr>
          <w:color w:val="FF0000"/>
          <w:rtl w:val="1"/>
        </w:rPr>
        <w:t xml:space="preserve">وكانَ يُصَلِّي بالناسِ المَغرِبَ، ثمَّ يدخلُ فيُصلِّي ركعَتَين،  </w:t>
      </w:r>
      <w:r>
        <w:rPr>
          <w:color w:val="FF0000"/>
          <w:rtl w:val="1"/>
        </w:rPr>
        <w:t xml:space="preserve">ويُصلِّي بالناسِ العِشاءَ، ويَدخُلُ بَيتِي فيُصلِّي رَكعَتَين،  </w:t>
      </w:r>
      <w:r>
        <w:rPr>
          <w:color w:val="FF0000"/>
          <w:rtl w:val="1"/>
        </w:rPr>
        <w:t xml:space="preserve">وكان يُصلِّي مِن الليلِ تِسعَ رَكَعَاتٍ فيهِنَّ الوِتر،  </w:t>
      </w:r>
      <w:r>
        <w:rPr>
          <w:color w:val="FF0000"/>
          <w:rtl w:val="1"/>
        </w:rPr>
        <w:t xml:space="preserve">وكان يُصلِّي ليلاً طَويلاً قائِمًا، وليلاً طَويلاً قاعِدًا،  </w:t>
      </w:r>
      <w:r>
        <w:rPr>
          <w:color w:val="000000"/>
          <w:rtl w:val="1"/>
        </w:rPr>
        <w:t xml:space="preserve">وكان إذا قَرَأ وهو قائِمٌ رَكَعَ وَسَجَدَ وهو قائِم،  </w:t>
      </w:r>
      <w:r>
        <w:rPr>
          <w:color w:val="000000"/>
          <w:rtl w:val="1"/>
        </w:rPr>
        <w:t xml:space="preserve">وإذا قرأ قاعدًا ركعَ وسجدًَ وهو قاعِد،  </w:t>
      </w:r>
      <w:r>
        <w:rPr>
          <w:color w:val="FF0000"/>
          <w:rtl w:val="1"/>
        </w:rPr>
        <w:t xml:space="preserve">وكان إذا طَلَع الفَجرُ صلّى ركْعَتَين.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السنن الراتبة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أداء السنن الراتبة في البيوت - السنن الراتبة في البيوت</w:t>
      </w:r>
    </w:p>
    <w:p>
      <w:pPr>
        <w:bidi w:val="1"/>
        <w:jc w:val="start"/>
      </w:pPr>
      <w:r>
        <w:rPr>
          <w:rtl w:val="1"/>
        </w:rPr>
        <w:t>الشرح: الدلالة: صلاة النافلة قائما وقاعدا - كيفية صلاة القيام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الرواتب - صلاة النبي ﷺ للسنن والنوافل </w:t>
      </w:r>
    </w:p>
    <w:p>
      <w:pPr>
        <w:bidi w:val="1"/>
        <w:jc w:val="start"/>
      </w:pPr>
      <w:r>
        <w:rPr>
          <w:rtl w:val="1"/>
        </w:rPr>
        <w:t xml:space="preserve">الشرح: الدلالة: كم كان يصلي ﷺ من الليل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