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التيمّم في الحضر-كتاب الطهارة-سنن أبي داود — رقم الحديث: 330 — الرقم الفرعي: 99 — الرقم الأصلي: 330</w:t>
        <w:br/>
      </w:r>
      <w:r>
        <w:rPr>
          <w:rtl w:val="1"/>
        </w:rPr>
        <w:t xml:space="preserve"> حدثنا أحمد بن إبراهيم الموصلي أبو عليّ أخبرنا محمد بن ثابت العبديّ أخبرنا نافع</w:t>
        <w:br/>
      </w:r>
      <w:r>
        <w:rPr>
          <w:color w:val="000000"/>
          <w:rtl w:val="1"/>
        </w:rPr>
        <w:t xml:space="preserve">قال: انطَلَقتُ مع ابنِ عمرَ في حاجةٍ إلى ابنِ عباس، فقضى ابنُ عمرَ حاجَتَه،  </w:t>
      </w:r>
      <w:r>
        <w:rPr>
          <w:color w:val="FF0000"/>
          <w:rtl w:val="1"/>
        </w:rPr>
        <w:t xml:space="preserve">وكانَ مِن حديثه يومَئذٍ أن قال:  </w:t>
      </w:r>
      <w:r>
        <w:rPr>
          <w:color w:val="FF0000"/>
          <w:rtl w:val="1"/>
        </w:rPr>
        <w:t xml:space="preserve">مَرَّ رجلٌ على رسولِ الله ﷺ في سِكَّةٍ مِنَ السِّكَكِ، وقد خرجَ مِن غائطٍ أو بَولٍ،  </w:t>
      </w:r>
      <w:r>
        <w:rPr>
          <w:color w:val="FF0000"/>
          <w:rtl w:val="1"/>
        </w:rPr>
        <w:t xml:space="preserve">فسَلَّمَ عليه، فلم يَرُدَّ عليه،  </w:t>
      </w:r>
      <w:r>
        <w:rPr>
          <w:color w:val="FF0000"/>
          <w:rtl w:val="1"/>
        </w:rPr>
        <w:t xml:space="preserve">حتَّى إذا كادَ الرجلُ أن يَتَوارى في السِّكَّةِ  </w:t>
      </w:r>
      <w:r>
        <w:rPr>
          <w:color w:val="FF0000"/>
          <w:rtl w:val="1"/>
        </w:rPr>
        <w:t xml:space="preserve">ضربَ بيَدَيهِ على الحائِطِ ومسحَ بها وجهَه، ثمَّ ضربَ ضَربةً أُخرى فمسحَ ذِراعَيهِ،  </w:t>
      </w:r>
      <w:r>
        <w:rPr>
          <w:color w:val="FF0000"/>
          <w:rtl w:val="1"/>
        </w:rPr>
        <w:t xml:space="preserve">ثمَّ ردَّ على الرجل السَّلامَ،  </w:t>
      </w:r>
      <w:r>
        <w:rPr>
          <w:color w:val="FF0000"/>
          <w:rtl w:val="1"/>
        </w:rPr>
        <w:t xml:space="preserve">وقال: «إنّه لم يَمنَعْني أن أَرُدَّ عليكَ السَّلامَ إلّا أني لم أكُن على طُهر». </w:t>
      </w:r>
    </w:p>
    <w:p>
      <w:pPr>
        <w:bidi w:val="1"/>
        <w:jc w:val="start"/>
      </w:pPr>
      <w:r>
        <w:rPr>
          <w:rtl w:val="1"/>
        </w:rPr>
        <w:t>درجة الحديث: إسناده ضعيف  / صحيح</w:t>
      </w:r>
    </w:p>
    <w:p>
      <w:pPr>
        <w:bidi w:val="1"/>
        <w:jc w:val="start"/>
      </w:pPr>
      <w:r>
        <w:rPr>
          <w:rtl w:val="1"/>
        </w:rPr>
        <w:t>الشرح: الدلالة: كيفية التيمم (صفة التيمم) - أعمال التيمم</w:t>
      </w:r>
    </w:p>
    <w:p>
      <w:pPr>
        <w:bidi w:val="1"/>
        <w:jc w:val="start"/>
      </w:pPr>
      <w:r>
        <w:rPr>
          <w:rtl w:val="1"/>
        </w:rPr>
        <w:t>الشرح: الدلالة: الكلام والسلام - منهيات قضاء الحاجة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