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الأمر بالمعروف والنهي عن المنكر-كتاب الفتن-سنن الترمذي — رقم الحديث: 2170 — الرقم الفرعي: 99 — الرقم الأصلي: 2171</w:t>
        <w:br/>
      </w:r>
      <w:r>
        <w:rPr>
          <w:rtl w:val="1"/>
        </w:rPr>
        <w:t xml:space="preserve"> حدثنا قتيبة حدثنا عبد العزيز بن محمد عن عمرو بن أبي عمرو عن عبد الله ملاحظة وهو ابن عبد الرحمن الأنصاريّ الأشهليّ عن حذيفة بن اليمان أنّ رسول الله صلى الله عليه وسلم</w:t>
        <w:br/>
      </w:r>
      <w:r>
        <w:rPr>
          <w:color w:val="000000"/>
          <w:rtl w:val="1"/>
        </w:rPr>
        <w:t xml:space="preserve">قال:  </w:t>
      </w:r>
      <w:r>
        <w:rPr>
          <w:color w:val="FF0000"/>
          <w:rtl w:val="1"/>
        </w:rPr>
        <w:t xml:space="preserve">«والذي نفسِي بيَدِه لا تقومُ السّاعةُ حتى تَقتُلوا إمامَكُم، وتَجتَلِدوا بأَسيافِكُم، ويَرِثَ دُنياكُم شِرارُكُم».  </w:t>
      </w:r>
      <w:r>
        <w:rPr>
          <w:color w:val="000000"/>
          <w:rtl w:val="1"/>
        </w:rPr>
        <w:t xml:space="preserve">هذا حديثٌ حسن. </w:t>
      </w:r>
    </w:p>
    <w:p>
      <w:pPr>
        <w:bidi w:val="1"/>
        <w:jc w:val="start"/>
      </w:pPr>
      <w:r>
        <w:rPr>
          <w:rtl w:val="1"/>
        </w:rPr>
        <w:t xml:space="preserve">درجة الحديث: إسناده ضعيف </w:t>
      </w:r>
    </w:p>
    <w:p>
      <w:pPr>
        <w:bidi w:val="1"/>
        <w:jc w:val="start"/>
      </w:pPr>
      <w:r>
        <w:rPr>
          <w:rtl w:val="1"/>
        </w:rPr>
        <w:t>الشرح: الدلالة: العوائق الفكرية</w:t>
      </w:r>
    </w:p>
    <w:p>
      <w:pPr>
        <w:bidi w:val="1"/>
        <w:jc w:val="start"/>
      </w:pPr>
      <w:r>
        <w:rPr>
          <w:rtl w:val="1"/>
        </w:rPr>
        <w:t>الشرح: الدلالة: العوائق المادية</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التفرق والاختلاف - القيم والأخلاق المذمومة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الاختلاف والفرقة</w:t>
      </w:r>
    </w:p>
    <w:p>
      <w:pPr>
        <w:bidi w:val="1"/>
        <w:jc w:val="start"/>
      </w:pPr>
      <w:r>
        <w:rPr>
          <w:rtl w:val="1"/>
        </w:rPr>
        <w:t>الشرح: الدلالة: غياب العدل وظهور الظلم</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إشاعة الفساد والتفرق</w:t>
      </w:r>
    </w:p>
    <w:p>
      <w:pPr>
        <w:bidi w:val="1"/>
        <w:jc w:val="start"/>
      </w:pPr>
      <w:r>
        <w:rPr>
          <w:rtl w:val="1"/>
        </w:rPr>
        <w:t>الشرح: الدلالة: إشاعة الظلم</w:t>
      </w:r>
    </w:p>
    <w:p>
      <w:pPr>
        <w:bidi w:val="1"/>
        <w:jc w:val="start"/>
      </w:pPr>
      <w:r>
        <w:rPr>
          <w:rtl w:val="1"/>
        </w:rPr>
        <w:t>الشرح: الدلالة: المبحث الأول: الفرقة والاختلاف بين المسلمين والاقتتال فيما بينهم - الـفـتـن المتعلقة بالقتال والملاحم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