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التجسس-كتاب الأدب-سنن أبي داود — رقم الحديث: 4890 — الرقم الفرعي: 99 — الرقم الأصلي: 4890</w:t>
        <w:br/>
      </w:r>
      <w:r>
        <w:rPr>
          <w:rtl w:val="1"/>
        </w:rPr>
        <w:t xml:space="preserve"> حدثنا أبو بكر بن أبي شيبة ثنا أبو معاوية عن الأعمش</w:t>
        <w:br/>
      </w:r>
      <w:r>
        <w:rPr>
          <w:color w:val="000000"/>
          <w:rtl w:val="1"/>
        </w:rPr>
        <w:t xml:space="preserve">عن زيد بن وهب، قال:  </w:t>
      </w:r>
      <w:r>
        <w:rPr>
          <w:color w:val="000000"/>
          <w:rtl w:val="1"/>
        </w:rPr>
        <w:t xml:space="preserve">أُتي ابنُ مسعودٍ، فقيل: هذا فلان تقطُرُ لحيتُه خمرًا،  </w:t>
      </w:r>
      <w:r>
        <w:rPr>
          <w:color w:val="FF0000"/>
          <w:rtl w:val="1"/>
        </w:rPr>
        <w:t xml:space="preserve">فقال عبد الله: إنا قد نُهِينا، عن التجَسُّس،  </w:t>
      </w:r>
      <w:r>
        <w:rPr>
          <w:color w:val="FF0000"/>
          <w:rtl w:val="1"/>
        </w:rPr>
        <w:t xml:space="preserve">ولكن إن يظهَرْ لنا شيء نأخُذْ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عدم التجسس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معاملة الناس على الظاهر وترك سرائرهم إلى الله - قيم حسن الظن</w:t>
      </w:r>
    </w:p>
    <w:p>
      <w:pPr>
        <w:bidi w:val="1"/>
        <w:jc w:val="start"/>
      </w:pPr>
      <w:r>
        <w:rPr>
          <w:rtl w:val="1"/>
        </w:rPr>
        <w:t>الشرح: الدلالة: الشهود على شرب الخمر - إثبات جريمة شرب الخمر</w:t>
      </w:r>
    </w:p>
    <w:p>
      <w:pPr>
        <w:bidi w:val="1"/>
        <w:jc w:val="start"/>
      </w:pPr>
      <w:r>
        <w:rPr>
          <w:rtl w:val="1"/>
        </w:rPr>
        <w:t>الشرح: الدلالة: القرائن الدالة على شرب الخمر - إثبات جريمة شرب الخمر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