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الزهريّ فيه-كتاب الصيام-سنن النسائي — رقم الحديث: 2107 — الرقم الفرعي: 99 — الرقم الأصلي: 2107</w:t>
        <w:br/>
      </w:r>
      <w:r>
        <w:rPr>
          <w:rtl w:val="1"/>
        </w:rPr>
        <w:t xml:space="preserve"> أخبرنا محمد بن منصور قال:حدثنا سفيان عن عطاء بن السّائب عن عَرْفَجَة</w:t>
        <w:br/>
      </w:r>
      <w:r>
        <w:rPr>
          <w:color w:val="000000"/>
          <w:rtl w:val="1"/>
        </w:rPr>
        <w:t xml:space="preserve">قال: عُدْنا عُتْبَةَ بنَ فَرْقَد، فتذاكَرْنا شهرَ رمضان، فقال: ما تذكرون؟  </w:t>
      </w:r>
      <w:r>
        <w:rPr>
          <w:color w:val="000000"/>
          <w:rtl w:val="1"/>
        </w:rPr>
        <w:t xml:space="preserve">قلنا: شهر رمضان. قال: سمعت رسول الله ﷺ يقول:  </w:t>
      </w:r>
      <w:r>
        <w:rPr>
          <w:color w:val="000000"/>
          <w:rtl w:val="1"/>
        </w:rPr>
        <w:t xml:space="preserve">«تُفَتَّحُ فيه أبواب الجنَّة، وتُغَلَّقُ فيه أبوابُ النَّار،  </w:t>
      </w:r>
      <w:r>
        <w:rPr>
          <w:color w:val="FF0000"/>
          <w:rtl w:val="1"/>
        </w:rPr>
        <w:t xml:space="preserve">وتُغَلُّ فيه الشَّياطين،  </w:t>
      </w:r>
      <w:r>
        <w:rPr>
          <w:color w:val="000000"/>
          <w:rtl w:val="1"/>
        </w:rPr>
        <w:t xml:space="preserve">ويُنادي مُنادٍ كلَّ ليلة: يا باغي الخيرِ هَلُمَّ، ويا باغِيَ الشَّرِّ أقصر».  </w:t>
      </w:r>
      <w:r>
        <w:rPr>
          <w:color w:val="000000"/>
          <w:rtl w:val="1"/>
        </w:rPr>
        <w:t xml:space="preserve">قال أبو عبد الرحمن: هذا خطأ.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مردة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