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الرقية من العين والنملة والحمة والنظرة-كتاب السلام-صحيح مسلم — رقم الحديث: 2196 — الرقم الفرعي: 1 — الرقم الأصلي: 2196</w:t>
        <w:br/>
      </w:r>
      <w:r>
        <w:rPr>
          <w:rtl w:val="1"/>
        </w:rPr>
        <w:t xml:space="preserve"> وحدثنا يحيى بن يحيى أخبرنا أبو خَيْثَمَة عن عاصم الأحول عن يوسف بن عبد الله</w:t>
        <w:br/>
      </w:r>
      <w:r>
        <w:rPr>
          <w:color w:val="FF0000"/>
          <w:rtl w:val="1"/>
        </w:rPr>
        <w:t xml:space="preserve">عن أَنس بنِ مالك، في الرُّقَى،  </w:t>
      </w:r>
      <w:r>
        <w:rPr>
          <w:color w:val="FF0000"/>
          <w:rtl w:val="1"/>
        </w:rPr>
        <w:t xml:space="preserve">قال: رُخِّصَ في الحُمَةِ والنَّمْلةِ والعَين. </w:t>
      </w:r>
    </w:p>
    <w:p>
      <w:pPr>
        <w:bidi w:val="1"/>
        <w:jc w:val="start"/>
      </w:pPr>
      <w:r>
        <w:rPr>
          <w:rtl w:val="1"/>
        </w:rPr>
        <w:t>الشرح: الدلالة: الحمة (السم) - الأمراض الباطنية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النملة - الأمراض الجلدية</w:t>
      </w:r>
    </w:p>
    <w:p>
      <w:pPr>
        <w:bidi w:val="1"/>
        <w:jc w:val="start"/>
      </w:pPr>
      <w:r>
        <w:rPr>
          <w:rtl w:val="1"/>
        </w:rPr>
        <w:t>الشرح: الدلالة: الرقية بالقرآن و التداوي به - أحكام القرآن و قراءته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