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التكني بأبي القاسم ،وبيان ما يستحب من الأسماء-كتاب الآداب-صحيح مسلم — رقم الحديث: 2132 — الرقم الفرعي: 99 — الرقم الأصلي: 2132</w:t>
        <w:br/>
      </w:r>
      <w:r>
        <w:rPr>
          <w:rtl w:val="1"/>
        </w:rPr>
        <w:t xml:space="preserve"> حدثني إبراهيم بن زياد ملاحظة وهو الملقّب بسَبَلان أخبرنا عبّاد بن عبّاد عن عبيدالله بن عمر و أخيه عبد الله ملاحظة سمعه منهما سنة أربعٍ وأربعين ومائةٍ يحدثان عن نافع عن ابن عمر قال:قال رسول الله صلى الله عليه وسلم</w:t>
        <w:br/>
      </w:r>
      <w:r>
        <w:rPr>
          <w:color w:val="FF0000"/>
          <w:rtl w:val="1"/>
        </w:rPr>
        <w:t xml:space="preserve">«إنّ أحبَّ أَسمائِكُم إلى الله عبدُ الله وعَبدُ الرَّحمن». 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