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دوام الذكر والفكر في أمور الآخرة-كتاب التوبة-صحيح مسلم — رقم الحديث: 2750 — الرقم الفرعي: 1 — الرقم الأصلي: 2750</w:t>
        <w:br/>
      </w:r>
      <w:r>
        <w:rPr>
          <w:rtl w:val="1"/>
        </w:rPr>
        <w:t xml:space="preserve"> حدثنا يحيى بن يحيى التَّيْمِيّ و قَطَن بن نُسَيْر ملاحظة واللفظ ليحيى أخبرنا جعفر بن سليمان عن سعيد بن إياس الجُرَيْرِيّ عن أبي عثمان النّهديّ عن حنظلة الأُسيّديّ</w:t>
        <w:br/>
      </w:r>
      <w:r>
        <w:rPr>
          <w:color w:val="000000"/>
          <w:rtl w:val="1"/>
        </w:rPr>
        <w:t xml:space="preserve">- قال: وكان من كتّاب رسولِ الله ﷺ -  </w:t>
      </w:r>
      <w:r>
        <w:rPr>
          <w:color w:val="FF0000"/>
          <w:rtl w:val="1"/>
        </w:rPr>
        <w:t xml:space="preserve">قال: لقِيَني أبو بكرٍ، فقال: كيفَ أنتَ يا حنظَلة؟ قال: قلتُ: نافَقَ حنظلة، قال: سُبحانَ الله، ما تَقول؟ قال: قلتُ: نكونُ عندَ رسولِ الله ﷺ، يُذكِّرُنا بالنّار والجنّة، حتَّى كأنّا رَأْيَ عينٍ، فإذا خرَجْنا من عندِ رسولِ الله ﷺ، عافَسْنا الأزواجَ والأولادَ والضَّيعات، فنَسِينا كثيرًا،  </w:t>
      </w:r>
      <w:r>
        <w:rPr>
          <w:color w:val="FF0000"/>
          <w:rtl w:val="1"/>
        </w:rPr>
        <w:t xml:space="preserve">قال أبو بكرٍ: فواللهِ، إنَّا لنَلْقَى مثلَ هذا.  </w:t>
      </w:r>
      <w:r>
        <w:rPr>
          <w:color w:val="FF0000"/>
          <w:rtl w:val="1"/>
        </w:rPr>
        <w:t xml:space="preserve">فانطلقتُ أنا وأبو بكرٍ، حتَّى دَخَلْنا على رسولِ الله ﷺ، قلتُ: نافَق حنظلةُ، يا رسولَ الله، فقال رسولُ الله ﷺ: «وما ذاك؟» قلت: يا رَسولَ الله، نكونُ عندَكَ، تذكِّرُنا بالنّارِ والجنّةِ، حتَّى كأنّا رَأْيَ عينٍ، فإذا خرَجْنا من عندِك، عافَسْنا الأزواجَ والأولادَ والضَّيعات، نسِينا كثيرًا،  </w:t>
      </w:r>
      <w:r>
        <w:rPr>
          <w:color w:val="FF0000"/>
          <w:rtl w:val="1"/>
        </w:rPr>
        <w:t xml:space="preserve">فقالَ رسولُ الله ﷺ: «والذي نفسِي بيَدِه، إنْ لو تَدُومُونَ على ما تكُونونَ عندي، وفي الذِّكْر، لصافَحَتْكمُ الملائكةُ على فُرُشِكم، وفي طُرُقكِم، ولكنْ يا حنظلةُ، ساعةً وساعةً»  </w:t>
      </w:r>
      <w:r>
        <w:rPr>
          <w:color w:val="000000"/>
          <w:rtl w:val="1"/>
        </w:rPr>
        <w:t xml:space="preserve">ثلاث مرّاتٍ.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التمتع بزينة الله والطيبات من الرزق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التوازن - المباديء</w:t>
      </w:r>
    </w:p>
    <w:p>
      <w:pPr>
        <w:bidi w:val="1"/>
        <w:jc w:val="start"/>
      </w:pPr>
      <w:r>
        <w:rPr>
          <w:rtl w:val="1"/>
        </w:rPr>
        <w:t>الشرح: الدلالة: الكمال والشمول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الدليل على زيادة الإيمان ونقصانه. - زيادة الإيمان ونقصانه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