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أين يدفن الشهيد-كتاب الجنائز-سنن النسائي — رقم الحديث: 2003 — الرقم الفرعي: 99 — الرقم الأصلي: 2003</w:t>
        <w:br/>
      </w:r>
      <w:r>
        <w:rPr>
          <w:rtl w:val="1"/>
        </w:rPr>
        <w:t xml:space="preserve"> أخبرنا إسحاق بن إبراهيم قال:أنبأنا وكيع قال:حدثنا سعيد بن السّائب عن رجُلٍ يُقال له عبيد الله بن مُعَيّة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أُصيبَ رَجُلان مِن المُسلِمينَ يومَ الطّائف فحُمِلا إلى رسولِ الله ﷺ، فأَمَر أَن يُدفَنا حيثُ أُصِيبا.  </w:t>
      </w:r>
      <w:r>
        <w:rPr>
          <w:color w:val="000000"/>
          <w:rtl w:val="1"/>
        </w:rPr>
        <w:t xml:space="preserve">وكان ابنُ مُعَيّةَ وُلِد على عهدِ رَسولِ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غزوة الطائف وما رافقها من أحداث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