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ردّ عن مسلم غيبة-كتاب الأدب-سنن أبي داود — رقم الحديث: 4884 — الرقم الفرعي: 99 — الرقم الأصلي: 4884</w:t>
        <w:br/>
      </w:r>
      <w:r>
        <w:rPr>
          <w:rtl w:val="1"/>
        </w:rPr>
        <w:t xml:space="preserve"> حدثنا إسحاق بن الصباح ثنا ابن أبي مريم أخبرنا الليث قال:حدثني يحيى بن سليم أنه سمع إسماعيل بن بشير يقول:سمعت جابر بن عبد الله و أبا طلحة بن سهل الأنصاريّ يقولان:قال رسول الله صلى الله عليه وسلم</w:t>
        <w:br/>
      </w:r>
      <w:r>
        <w:rPr>
          <w:color w:val="000000"/>
          <w:rtl w:val="1"/>
        </w:rPr>
        <w:t xml:space="preserve">«ما مِن امرئٍ يَخذُلُ امرأً مُسلمًا في مَوضِعِ تُنتهَكُ فيه حرمتُهُ، ويُنتقَصُ فيه من عِرْضِهِ، إلّا خذلَهُ الله في موطِنٍ يُحبُّ فيه نُصرَتَهُ،  </w:t>
      </w:r>
      <w:r>
        <w:rPr>
          <w:color w:val="000000"/>
          <w:rtl w:val="1"/>
        </w:rPr>
        <w:t xml:space="preserve">وما من امرئٍ ينصُرُ مُسلِمًا في موضعِ يُنتَقَصُ فيه مِن عِرْضِهِ، ويُنتهَكُ فيهِ من حُرمتِه إلّا نصَرَهُ الله عزَّ وجلَّ في مَوطِنٍ يُحِبُّ فيه نُصرَتَه». </w:t>
      </w:r>
      <w:r>
        <w:rPr>
          <w:color w:val="000000"/>
          <w:rtl w:val="1"/>
        </w:rPr>
        <w:t xml:space="preserve">قال يحيى: وحدَّثَنيه عُبيدُ الله بن عبد الله بن عُمر، وعُقبةُ بن شَدّاد.   </w:t>
      </w:r>
      <w:r>
        <w:rPr>
          <w:color w:val="000000"/>
          <w:rtl w:val="1"/>
        </w:rPr>
        <w:t xml:space="preserve">قال أبو داود: يحيى بنُ سُلَيم هذا هو ابنُ زيدٍ مولى النّبيِّ ﷺ،  </w:t>
      </w:r>
      <w:r>
        <w:rPr>
          <w:color w:val="000000"/>
          <w:rtl w:val="1"/>
        </w:rPr>
        <w:t xml:space="preserve">وإسماعيلُ بنُ بَشير مولى بني مَغَالة،  </w:t>
      </w:r>
      <w:r>
        <w:rPr>
          <w:color w:val="000000"/>
          <w:rtl w:val="1"/>
        </w:rPr>
        <w:t xml:space="preserve">وقد قيل: عُتبة بنُ شَدّاد،  مَوضِعَ عُقْبة.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العوائق المادية</w:t>
      </w:r>
    </w:p>
    <w:p>
      <w:pPr>
        <w:bidi w:val="1"/>
        <w:jc w:val="start"/>
      </w:pPr>
      <w:r>
        <w:rPr>
          <w:rtl w:val="1"/>
        </w:rPr>
        <w:t>الشرح: الدلالة: التصور الإسلامي للالوهية - التصور الإسلامي</w:t>
      </w:r>
    </w:p>
    <w:p>
      <w:pPr>
        <w:bidi w:val="1"/>
        <w:jc w:val="start"/>
      </w:pPr>
      <w:r>
        <w:rPr>
          <w:rtl w:val="1"/>
        </w:rPr>
        <w:t>الشرح: الدلالة: فضل المحبة في الله والأخوة والصداقة - فضل التكافل الاجتماعي</w:t>
      </w:r>
    </w:p>
    <w:p>
      <w:pPr>
        <w:bidi w:val="1"/>
        <w:jc w:val="start"/>
      </w:pPr>
      <w:r>
        <w:rPr>
          <w:rtl w:val="1"/>
        </w:rPr>
        <w:t>الشرح: الدلالة: النصرة والأخوة - أساليب التكافل الاجتماعي ومؤسساته</w:t>
      </w:r>
    </w:p>
    <w:p>
      <w:pPr>
        <w:bidi w:val="1"/>
        <w:jc w:val="start"/>
      </w:pPr>
      <w:r>
        <w:rPr>
          <w:rtl w:val="1"/>
        </w:rPr>
        <w:t>الشرح: الدلالة: حفظ اللسان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الغيبة والبهتان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آداب الأخوة والألفة والمحبة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الاعتداء على الأموال والأعراض</w:t>
      </w:r>
    </w:p>
    <w:p>
      <w:pPr>
        <w:bidi w:val="1"/>
        <w:jc w:val="start"/>
      </w:pPr>
      <w:r>
        <w:rPr>
          <w:rtl w:val="1"/>
        </w:rPr>
        <w:t>الشرح: الدلالة: تكوين الفرد الصالح المصلح (ذاتياً)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تكوين المواطن الصالح المصلح (بيئياً)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تكوين المجتمع الصالح المصلح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قيمة التكافل مع المظلوم ونصرته - مظاهر قيم التكافل الاجتماعي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