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خروج المهديّ-كتاب الفتن-سنن ابن ماجة — رقم الحديث: 4083 — الرقم الفرعي: 99 — الرقم الأصلي: 4083</w:t>
        <w:br/>
      </w:r>
      <w:r>
        <w:rPr>
          <w:rtl w:val="1"/>
        </w:rPr>
        <w:t xml:space="preserve"> حدثنا نصر بن عليّ الجهضميّ ثنا محمد بن مروان العُقيليّ ثنا عُمارة بن أبي حفصة عن زيد العمّيّ عن أبي صدّيقٍ الناجي عن أبي سعيد الخدريّ أنّ النبيّ،صلى الله عليه وسلم</w:t>
        <w:br/>
      </w:r>
      <w:r>
        <w:rPr>
          <w:color w:val="000000"/>
          <w:rtl w:val="1"/>
        </w:rPr>
        <w:t xml:space="preserve">قال:  </w:t>
      </w:r>
      <w:r>
        <w:rPr>
          <w:color w:val="FF0000"/>
          <w:rtl w:val="1"/>
        </w:rPr>
        <w:t xml:space="preserve">«يكونُ في أُمّتي المَهديُّ، إنْ قَصُرَ فسَبْعٌ، وإلّا فتِسْعٌ،  </w:t>
      </w:r>
      <w:r>
        <w:rPr>
          <w:color w:val="FF0000"/>
          <w:rtl w:val="1"/>
        </w:rPr>
        <w:t xml:space="preserve">فتَنعَمُ فيه أُمَّتي نِعمةً لم يَنعَمُوا مِثلَها قطُّ، تُؤتَى أُكُلَها، ولا تَدّخِرُ منهم شيئًا، والمالُ يومَئذٍ كُدوسٌ، فيقومُ الرّجُلُ فيقول: يا مَهديُّ، أَعطِني، فيقول: خُذْ». </w:t>
      </w:r>
    </w:p>
    <w:p>
      <w:pPr>
        <w:bidi w:val="1"/>
        <w:jc w:val="start"/>
      </w:pPr>
      <w:r>
        <w:rPr>
          <w:rtl w:val="1"/>
        </w:rPr>
        <w:t xml:space="preserve">درجة الحديث: إسناده ضعيف </w:t>
      </w:r>
    </w:p>
    <w:p>
      <w:pPr>
        <w:bidi w:val="1"/>
        <w:jc w:val="start"/>
      </w:pPr>
      <w:r>
        <w:rPr>
          <w:rtl w:val="1"/>
        </w:rPr>
        <w:t>الشرح: الدلالة: الفصل الأول: المهدي صفاته وأعماله وخروجه وما يصاحبه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