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بدء شأن المنبر-كتاب إقامة الصلاة-سنن ابن ماجة — رقم الحديث: 1415 — الرقم الفرعي: 99 — الرقم الأصلي: 1415</w:t>
        <w:br/>
      </w:r>
      <w:r>
        <w:rPr>
          <w:rtl w:val="1"/>
        </w:rPr>
        <w:t xml:space="preserve"> حدثنا أبو بكر بن خلاّد الباهليّ ثنا بهز بن أسد ثنا حمّاد بن سلمة عن عمّار بن أبي عمّار عن ابن عبّاس وعن ثابت عن أنس</w:t>
        <w:br/>
      </w:r>
      <w:r>
        <w:rPr>
          <w:color w:val="FF0000"/>
          <w:rtl w:val="1"/>
        </w:rPr>
        <w:t xml:space="preserve">أنَّ النّبيَّ ﷺ كان يَخطُبُ إلى جِذْعٍ،  </w:t>
      </w:r>
      <w:r>
        <w:rPr>
          <w:color w:val="FF0000"/>
          <w:rtl w:val="1"/>
        </w:rPr>
        <w:t xml:space="preserve">فلمَّا اتَّخذَ المِنبَرَ ذهبَ إلى المِنبَر،  </w:t>
      </w:r>
      <w:r>
        <w:rPr>
          <w:color w:val="FF0000"/>
          <w:rtl w:val="1"/>
        </w:rPr>
        <w:t xml:space="preserve">فحَنَّ الجِذْعُ، فأَتاهُ فاحتَضَنَه فسَكَن،  </w:t>
      </w:r>
      <w:r>
        <w:rPr>
          <w:color w:val="FF0000"/>
          <w:rtl w:val="1"/>
        </w:rPr>
        <w:t xml:space="preserve">فقال: «لو لم أَحتَضِنْه لَحَنَّ إلى يومِ القِيامة».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حنين الجذع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