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الحكم في المرتد-كتاب تحريم الدم-سنن النسائي — رقم الحديث: 4065 — الرقم الفرعي: 99 — الرقم الأصلي: 4065</w:t>
        <w:br/>
      </w:r>
      <w:r>
        <w:rPr>
          <w:rtl w:val="1"/>
        </w:rPr>
        <w:t xml:space="preserve"> أخبرنا محمد بن المثنى قال:حدثنا عبد الصمد قال:حدثنا هشام عن قتادة عن أنس</w:t>
        <w:br/>
      </w:r>
      <w:r>
        <w:rPr>
          <w:color w:val="FF0000"/>
          <w:rtl w:val="1"/>
        </w:rPr>
        <w:t xml:space="preserve">أنَّ عليًّا أُتِيَ بناسٍ من الزُّطِّ يعبدونَ وَثَنًا، فَأَحرَقَهم.  </w:t>
      </w:r>
      <w:r>
        <w:rPr>
          <w:color w:val="000000"/>
          <w:rtl w:val="1"/>
        </w:rPr>
        <w:t xml:space="preserve">قال ابن عَبَّاس: إِنَّما قال رسولُ الله ﷺ: «مَنْ بَدَّلَ دِينَه فاقتُلوه».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حقيقة الشرك - الشرك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