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ينهى عنه أن يُستنجى به-كتاب الطهارة-سنن أبي داود — رقم الحديث: 36 — الرقم الفرعي: 99 — الرقم الأصلي: 36</w:t>
        <w:br/>
      </w:r>
      <w:r>
        <w:rPr>
          <w:rtl w:val="1"/>
        </w:rPr>
        <w:t xml:space="preserve"> حدثنا يزيد بن خالد بن عبد الله بن موهب الهمدانيّ ثنا المفضل ملاحظة يعني ابن فضالة المصريّ عن عيّاش بن عبّاس القِتبانيّ أنّ شُيَيْم بن بَيْتان أخبره عن شيبان القِتبانيّ</w:t>
        <w:br/>
      </w:r>
      <w:r>
        <w:rPr>
          <w:color w:val="FF0000"/>
          <w:rtl w:val="1"/>
        </w:rPr>
        <w:t xml:space="preserve">أنَّ مَسلَمةَ بن مُخلَّدٍ استَعمَلَ رُويفِعَ بنَ ثابتٍ على أسفَلِ الأرضِ،  </w:t>
      </w:r>
      <w:r>
        <w:rPr>
          <w:color w:val="FF0000"/>
          <w:rtl w:val="1"/>
        </w:rPr>
        <w:t xml:space="preserve">قال شَيبانُ: فسِرنا معهُ من كومِ شَريكٍ إلى عَلْقماء،  </w:t>
      </w:r>
      <w:r>
        <w:rPr>
          <w:color w:val="FF0000"/>
          <w:rtl w:val="1"/>
        </w:rPr>
        <w:t xml:space="preserve">أو مِن عَلْقماءَ إلى كُومِ شَريكٍ - يُريدُ عَلْقامَ -،  </w:t>
      </w:r>
      <w:r>
        <w:rPr>
          <w:color w:val="FF0000"/>
          <w:rtl w:val="1"/>
        </w:rPr>
        <w:t xml:space="preserve">فقال رُوَيفع: إن كانَ أحدُنا في زَمَنِ رسولِ الله ﷺ لَيأخُذُ نِضوَ أَخيه  </w:t>
      </w:r>
      <w:r>
        <w:rPr>
          <w:color w:val="FF0000"/>
          <w:rtl w:val="1"/>
        </w:rPr>
        <w:t xml:space="preserve">على أنَّ له النِّصفَ مما يَغنَمُ ولنا النِّصفُ،  </w:t>
      </w:r>
      <w:r>
        <w:rPr>
          <w:color w:val="FF0000"/>
          <w:rtl w:val="1"/>
        </w:rPr>
        <w:t xml:space="preserve">فإن كانَ أحدُنا لَيَطيرُ لهُ النَّصْلُ والرِّيشُ وللآخرِ القِدحُ،  </w:t>
      </w:r>
      <w:r>
        <w:rPr>
          <w:color w:val="FF0000"/>
          <w:rtl w:val="1"/>
        </w:rPr>
        <w:t xml:space="preserve">ثمَّ قال: قالَ لي رسولُ الله ﷺ: «يا رُوَيفِعُ، لعلَّ الحياةَ ستطُولُ بك بعدِي،  </w:t>
      </w:r>
      <w:r>
        <w:rPr>
          <w:color w:val="FF0000"/>
          <w:rtl w:val="1"/>
        </w:rPr>
        <w:t xml:space="preserve">فأخبِر النَّاسَ أنَّهُ مَن عَقَدَ لِحيتَهُ،  </w:t>
      </w:r>
      <w:r>
        <w:rPr>
          <w:color w:val="FF0000"/>
          <w:rtl w:val="1"/>
        </w:rPr>
        <w:t xml:space="preserve">أو تَقَلَّدَ وَتَرًا، أو استَنجَى برَجِيعِ دابَّةٍ أو عَظمٍ،  </w:t>
      </w:r>
      <w:r>
        <w:rPr>
          <w:color w:val="FF0000"/>
          <w:rtl w:val="1"/>
        </w:rPr>
        <w:t xml:space="preserve">فإنَّ مُحمّدًا منه بريءٌ».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المذموم من الزينة والتبرج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التحذير من مخالفة السنة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التقيد بضوابط الشرع في اللباس والزينة - زينة البدن والثياب</w:t>
      </w:r>
    </w:p>
    <w:p>
      <w:pPr>
        <w:bidi w:val="1"/>
        <w:jc w:val="start"/>
      </w:pPr>
      <w:r>
        <w:rPr>
          <w:rtl w:val="1"/>
        </w:rPr>
        <w:t>الشرح: الدلالة: النهي عن الاستجمار بالروث والعظم - الاستنجاء والاستجمار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التحذير من الابتداع في الدين واتباع الهوى - ما ورد في الرأي المذموم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الغنائم والفئ والخراج والجزية - أنواع التمويل ومصادره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