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3289 — الرقم الفرعي: 99 — الرقم الأصلي: 3289</w:t>
        <w:br/>
      </w:r>
      <w:r>
        <w:rPr>
          <w:rtl w:val="1"/>
        </w:rPr>
        <w:t xml:space="preserve"> حدثنا عاصم بن عليّ حدثنا ابن أبي ذئب عن سعيد المقبريّ عن أبيه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«التَثاؤُبُ منَ الشَّيطانِ،  </w:t>
      </w:r>
      <w:r>
        <w:rPr>
          <w:color w:val="FF0000"/>
          <w:rtl w:val="1"/>
        </w:rPr>
        <w:t xml:space="preserve">فإذا تَثاءَبَ أحدُكم فلْيَرُدَّه ما استَطاعَ،  </w:t>
      </w:r>
      <w:r>
        <w:rPr>
          <w:color w:val="FF0000"/>
          <w:rtl w:val="1"/>
        </w:rPr>
        <w:t xml:space="preserve">فإنَّ أحدَكم إذا قال: ها، ضَحِكَ الشَّيطانُ».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العطاس والتثاؤب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بعض الآداب والمندوبات في الصلاة -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